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585667" w:rsidRDefault="00556F19" w:rsidP="00585667">
      <w:pPr>
        <w:spacing w:after="0" w:line="240" w:lineRule="auto"/>
        <w:jc w:val="center"/>
        <w:rPr>
          <w:b/>
          <w:sz w:val="28"/>
        </w:rPr>
      </w:pPr>
      <w:r w:rsidRPr="00585667">
        <w:rPr>
          <w:sz w:val="28"/>
        </w:rPr>
        <w:t xml:space="preserve">Ģeoloģiskais dabas piemineklis </w:t>
      </w:r>
      <w:r w:rsidR="000C4785" w:rsidRPr="00585667">
        <w:rPr>
          <w:b/>
          <w:sz w:val="28"/>
        </w:rPr>
        <w:tab/>
      </w:r>
      <w:proofErr w:type="spellStart"/>
      <w:r w:rsidR="00DE0220" w:rsidRPr="00585667">
        <w:rPr>
          <w:b/>
          <w:sz w:val="28"/>
        </w:rPr>
        <w:t>Lejasbindu</w:t>
      </w:r>
      <w:proofErr w:type="spellEnd"/>
      <w:r w:rsidR="00DE0220" w:rsidRPr="00585667">
        <w:rPr>
          <w:b/>
          <w:sz w:val="28"/>
        </w:rPr>
        <w:t xml:space="preserve"> krauja</w:t>
      </w:r>
    </w:p>
    <w:p w:rsidR="00A44B2A" w:rsidRPr="00585667" w:rsidRDefault="00FC07DD" w:rsidP="00585667">
      <w:pPr>
        <w:spacing w:after="0" w:line="240" w:lineRule="auto"/>
        <w:jc w:val="center"/>
        <w:rPr>
          <w:sz w:val="28"/>
        </w:rPr>
      </w:pPr>
      <w:r w:rsidRPr="00585667">
        <w:rPr>
          <w:sz w:val="28"/>
        </w:rPr>
        <w:t xml:space="preserve">MK 175. noteikumu piel. Nr. </w:t>
      </w:r>
      <w:r w:rsidR="009B029B" w:rsidRPr="00585667">
        <w:rPr>
          <w:sz w:val="28"/>
        </w:rPr>
        <w:t>1</w:t>
      </w:r>
      <w:r w:rsidR="00DE0220" w:rsidRPr="00585667">
        <w:rPr>
          <w:sz w:val="28"/>
        </w:rPr>
        <w:t>2</w:t>
      </w:r>
    </w:p>
    <w:p w:rsidR="00AB7B93" w:rsidRPr="00585667" w:rsidRDefault="00AB7B93" w:rsidP="00585667">
      <w:pPr>
        <w:spacing w:after="0" w:line="240" w:lineRule="auto"/>
        <w:jc w:val="both"/>
        <w:rPr>
          <w:b/>
          <w:sz w:val="24"/>
        </w:rPr>
      </w:pPr>
    </w:p>
    <w:p w:rsidR="007A4563" w:rsidRPr="00585667" w:rsidRDefault="00585667" w:rsidP="00585667">
      <w:pPr>
        <w:spacing w:after="0" w:line="240" w:lineRule="auto"/>
        <w:jc w:val="both"/>
        <w:rPr>
          <w:b/>
          <w:sz w:val="32"/>
        </w:rPr>
      </w:pPr>
      <w:r w:rsidRPr="00585667">
        <w:rPr>
          <w:b/>
          <w:sz w:val="32"/>
        </w:rPr>
        <w:t>Detalizēts apraksts</w:t>
      </w:r>
    </w:p>
    <w:p w:rsidR="00585667" w:rsidRPr="00585667" w:rsidRDefault="00585667" w:rsidP="00585667">
      <w:pPr>
        <w:spacing w:after="0" w:line="240" w:lineRule="auto"/>
        <w:jc w:val="both"/>
        <w:rPr>
          <w:b/>
          <w:sz w:val="24"/>
        </w:rPr>
      </w:pPr>
    </w:p>
    <w:p w:rsidR="00931645" w:rsidRPr="00585667" w:rsidRDefault="00585667" w:rsidP="00585667">
      <w:pPr>
        <w:spacing w:after="0" w:line="240" w:lineRule="auto"/>
        <w:jc w:val="both"/>
        <w:rPr>
          <w:b/>
          <w:sz w:val="24"/>
        </w:rPr>
      </w:pPr>
      <w:r w:rsidRPr="00585667">
        <w:rPr>
          <w:b/>
          <w:sz w:val="24"/>
        </w:rPr>
        <w:t>Adrese</w:t>
      </w:r>
    </w:p>
    <w:p w:rsidR="0002328F" w:rsidRPr="00585667" w:rsidRDefault="00DE0220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Apes novadā, Virešu pagastā, aizsargājamo ainavu apvidū </w:t>
      </w:r>
      <w:proofErr w:type="spellStart"/>
      <w:r w:rsidRPr="00585667">
        <w:rPr>
          <w:sz w:val="24"/>
        </w:rPr>
        <w:t>Ziemeļgauja</w:t>
      </w:r>
      <w:proofErr w:type="spellEnd"/>
      <w:r w:rsidRPr="00585667">
        <w:rPr>
          <w:sz w:val="24"/>
        </w:rPr>
        <w:t xml:space="preserve">, </w:t>
      </w:r>
      <w:proofErr w:type="spellStart"/>
      <w:proofErr w:type="gramStart"/>
      <w:r w:rsidRPr="00585667">
        <w:rPr>
          <w:sz w:val="24"/>
        </w:rPr>
        <w:t>Natura</w:t>
      </w:r>
      <w:proofErr w:type="spellEnd"/>
      <w:proofErr w:type="gramEnd"/>
      <w:r w:rsidRPr="00585667">
        <w:rPr>
          <w:sz w:val="24"/>
        </w:rPr>
        <w:t xml:space="preserve"> 2000 teritorijā</w:t>
      </w:r>
      <w:r w:rsidR="00170FE2" w:rsidRPr="00585667">
        <w:rPr>
          <w:sz w:val="24"/>
        </w:rPr>
        <w:t>.</w:t>
      </w:r>
    </w:p>
    <w:p w:rsidR="000E35E2" w:rsidRPr="00585667" w:rsidRDefault="000E35E2" w:rsidP="00585667">
      <w:pPr>
        <w:spacing w:after="0" w:line="240" w:lineRule="auto"/>
        <w:jc w:val="both"/>
        <w:rPr>
          <w:rFonts w:eastAsia="Times New Roman"/>
          <w:sz w:val="24"/>
          <w:lang w:eastAsia="lv-LV"/>
        </w:rPr>
      </w:pPr>
      <w:r w:rsidRPr="00585667">
        <w:rPr>
          <w:rFonts w:eastAsia="Times New Roman"/>
          <w:sz w:val="24"/>
          <w:lang w:eastAsia="lv-LV"/>
        </w:rPr>
        <w:t>Ģeogrāfiskās koordinātes E26° 21,348' un N57° 26,295', jeb x641407, y368623 LKS92 sistēmā.</w:t>
      </w:r>
    </w:p>
    <w:p w:rsidR="00C7282A" w:rsidRPr="00585667" w:rsidRDefault="00D80290" w:rsidP="00585667">
      <w:pPr>
        <w:spacing w:after="0" w:line="240" w:lineRule="auto"/>
        <w:jc w:val="both"/>
        <w:rPr>
          <w:b/>
          <w:sz w:val="24"/>
        </w:rPr>
      </w:pPr>
      <w:r w:rsidRPr="00585667">
        <w:rPr>
          <w:b/>
          <w:sz w:val="24"/>
        </w:rPr>
        <w:t>Ģeo</w:t>
      </w:r>
      <w:r w:rsidR="0002328F" w:rsidRPr="00585667">
        <w:rPr>
          <w:b/>
          <w:sz w:val="24"/>
        </w:rPr>
        <w:t>grāfiskais novietojums</w:t>
      </w:r>
    </w:p>
    <w:p w:rsidR="00931645" w:rsidRPr="00585667" w:rsidRDefault="00DE0220" w:rsidP="00585667">
      <w:pPr>
        <w:spacing w:after="0" w:line="240" w:lineRule="auto"/>
        <w:jc w:val="both"/>
        <w:rPr>
          <w:sz w:val="24"/>
        </w:rPr>
      </w:pPr>
      <w:proofErr w:type="spellStart"/>
      <w:r w:rsidRPr="00585667">
        <w:rPr>
          <w:sz w:val="24"/>
        </w:rPr>
        <w:t>Vidusgaujas</w:t>
      </w:r>
      <w:proofErr w:type="spellEnd"/>
      <w:r w:rsidRPr="00585667">
        <w:rPr>
          <w:sz w:val="24"/>
        </w:rPr>
        <w:t xml:space="preserve"> zemienē, Gaujas senlejas nogāzē, upes labajā pamatkrastā</w:t>
      </w:r>
      <w:r w:rsidR="006C0979" w:rsidRPr="00585667">
        <w:rPr>
          <w:sz w:val="24"/>
        </w:rPr>
        <w:t>.</w:t>
      </w:r>
    </w:p>
    <w:p w:rsidR="0002328F" w:rsidRPr="00585667" w:rsidRDefault="00585667" w:rsidP="00585667">
      <w:pPr>
        <w:spacing w:after="0" w:line="240" w:lineRule="auto"/>
        <w:jc w:val="both"/>
        <w:rPr>
          <w:b/>
          <w:sz w:val="24"/>
        </w:rPr>
      </w:pPr>
      <w:r w:rsidRPr="00585667">
        <w:rPr>
          <w:b/>
          <w:sz w:val="24"/>
        </w:rPr>
        <w:t>Ģeoloģiskie veidojumi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D</w:t>
      </w:r>
      <w:r w:rsidR="00931645" w:rsidRPr="00585667">
        <w:rPr>
          <w:sz w:val="24"/>
        </w:rPr>
        <w:t>abas pieminekli veido d</w:t>
      </w:r>
      <w:r w:rsidRPr="00585667">
        <w:rPr>
          <w:sz w:val="24"/>
        </w:rPr>
        <w:t xml:space="preserve">evona Daugavas svītas </w:t>
      </w:r>
      <w:proofErr w:type="spellStart"/>
      <w:r w:rsidRPr="00585667">
        <w:rPr>
          <w:sz w:val="24"/>
        </w:rPr>
        <w:t>Oliņkalna</w:t>
      </w:r>
      <w:proofErr w:type="spellEnd"/>
      <w:r w:rsidRPr="00585667">
        <w:rPr>
          <w:sz w:val="24"/>
        </w:rPr>
        <w:t xml:space="preserve"> </w:t>
      </w:r>
      <w:proofErr w:type="spellStart"/>
      <w:r w:rsidRPr="00585667">
        <w:rPr>
          <w:sz w:val="24"/>
        </w:rPr>
        <w:t>ridas</w:t>
      </w:r>
      <w:proofErr w:type="spellEnd"/>
      <w:r w:rsidRPr="00585667">
        <w:rPr>
          <w:sz w:val="24"/>
        </w:rPr>
        <w:t xml:space="preserve"> dolomītu un mālaini karbonātisku iežu neliela aizaugušu atsegumu josla Gaujas labā pamatkrasta pakājē.  </w:t>
      </w:r>
    </w:p>
    <w:p w:rsidR="00810625" w:rsidRPr="00585667" w:rsidRDefault="0093164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A</w:t>
      </w:r>
      <w:r w:rsidR="00810625" w:rsidRPr="00585667">
        <w:rPr>
          <w:sz w:val="24"/>
        </w:rPr>
        <w:t xml:space="preserve">tsegumu joslas kopējais garums ir 250 m; lielāko daļu tajā veido pārtraukumi. Dolomīta atsegumu maksimālais augstums ir 3,5 m.  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 w:rsidRPr="00585667">
        <w:rPr>
          <w:b/>
          <w:bCs/>
          <w:sz w:val="24"/>
        </w:rPr>
        <w:t>Izmēri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Dabas pieminekļa platība </w:t>
      </w:r>
      <w:r w:rsidR="000E35E2" w:rsidRPr="00585667">
        <w:rPr>
          <w:sz w:val="24"/>
        </w:rPr>
        <w:t>1,68</w:t>
      </w:r>
      <w:r w:rsidRPr="00585667">
        <w:rPr>
          <w:sz w:val="24"/>
        </w:rPr>
        <w:t xml:space="preserve"> ha.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 w:rsidRPr="00585667">
        <w:rPr>
          <w:b/>
          <w:bCs/>
          <w:sz w:val="24"/>
        </w:rPr>
        <w:t>Debits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Avoti netika konstatēti.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 w:rsidRPr="00585667">
        <w:rPr>
          <w:b/>
          <w:bCs/>
          <w:sz w:val="24"/>
        </w:rPr>
        <w:t>Unikālās vērtības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Daugavas svītas </w:t>
      </w:r>
      <w:proofErr w:type="spellStart"/>
      <w:r w:rsidRPr="00585667">
        <w:rPr>
          <w:sz w:val="24"/>
        </w:rPr>
        <w:t>Oliņkalna</w:t>
      </w:r>
      <w:proofErr w:type="spellEnd"/>
      <w:r w:rsidRPr="00585667">
        <w:rPr>
          <w:sz w:val="24"/>
        </w:rPr>
        <w:t xml:space="preserve"> </w:t>
      </w:r>
      <w:proofErr w:type="spellStart"/>
      <w:r w:rsidRPr="00585667">
        <w:rPr>
          <w:sz w:val="24"/>
        </w:rPr>
        <w:t>ridas</w:t>
      </w:r>
      <w:proofErr w:type="spellEnd"/>
      <w:r w:rsidRPr="00585667">
        <w:rPr>
          <w:sz w:val="24"/>
        </w:rPr>
        <w:t xml:space="preserve"> iežu atsegums, kam līdzīgu Virešu-Vidagas apkārtnē nav daudz. </w:t>
      </w:r>
    </w:p>
    <w:p w:rsidR="00810625" w:rsidRPr="00585667" w:rsidRDefault="0093164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D</w:t>
      </w:r>
      <w:r w:rsidR="00810625" w:rsidRPr="00585667">
        <w:rPr>
          <w:sz w:val="24"/>
        </w:rPr>
        <w:t>olomīti un ar tiem asociējošie mālaini karbonātiskie ieži veido labi izteiktu antiklinālu kroku, kas arī šobrīd ir lielākā aizaugušās atsegumu joslas vērtība.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b/>
          <w:bCs/>
          <w:sz w:val="24"/>
        </w:rPr>
        <w:t>Ainaviskuma rak</w:t>
      </w:r>
      <w:r w:rsidR="00585667" w:rsidRPr="00585667">
        <w:rPr>
          <w:b/>
          <w:bCs/>
          <w:sz w:val="24"/>
        </w:rPr>
        <w:t>sturojums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Aizaugušās klintis atrodas stāvā un augstā Gaujas labā pamatkrasta pakājē. To ainaviskā vērtība sakarā ar ievērojamo aizaugšanu šobrīd ir neliela.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proofErr w:type="spellStart"/>
      <w:r w:rsidRPr="00585667">
        <w:rPr>
          <w:b/>
          <w:bCs/>
          <w:sz w:val="24"/>
        </w:rPr>
        <w:t>Stratigrāfija</w:t>
      </w:r>
      <w:proofErr w:type="spellEnd"/>
    </w:p>
    <w:p w:rsidR="00810625" w:rsidRPr="00585667" w:rsidRDefault="00810625" w:rsidP="00585667">
      <w:pPr>
        <w:spacing w:after="0" w:line="240" w:lineRule="auto"/>
        <w:jc w:val="both"/>
      </w:pPr>
      <w:r w:rsidRPr="00585667">
        <w:t xml:space="preserve">Augšējā devona Daugavas svītas </w:t>
      </w:r>
      <w:proofErr w:type="spellStart"/>
      <w:r w:rsidRPr="00585667">
        <w:t>Oliņkalna</w:t>
      </w:r>
      <w:proofErr w:type="spellEnd"/>
      <w:r w:rsidRPr="00585667">
        <w:t xml:space="preserve"> </w:t>
      </w:r>
      <w:proofErr w:type="spellStart"/>
      <w:r w:rsidRPr="00585667">
        <w:t>ridas</w:t>
      </w:r>
      <w:proofErr w:type="spellEnd"/>
      <w:r w:rsidRPr="00585667">
        <w:t xml:space="preserve"> dolomītu un mālaini karbonātisko nogulumiežu atsegumi. Stratigrāfiskā nozīmība nav liela, tomēr šis ir viens no nedaudzajiem šajā reģionā sastopamajiem Daugavas svītas apakšējās daļas – </w:t>
      </w:r>
      <w:proofErr w:type="spellStart"/>
      <w:r w:rsidRPr="00585667">
        <w:t>Oliņkalna</w:t>
      </w:r>
      <w:proofErr w:type="spellEnd"/>
      <w:r w:rsidRPr="00585667">
        <w:t xml:space="preserve"> </w:t>
      </w:r>
      <w:proofErr w:type="spellStart"/>
      <w:r w:rsidRPr="00585667">
        <w:t>ridas</w:t>
      </w:r>
      <w:proofErr w:type="spellEnd"/>
      <w:r w:rsidRPr="00585667">
        <w:t xml:space="preserve"> - atsegumiem.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 w:rsidRPr="00585667">
        <w:rPr>
          <w:b/>
          <w:bCs/>
          <w:sz w:val="24"/>
        </w:rPr>
        <w:t>Uzbūve</w:t>
      </w:r>
    </w:p>
    <w:p w:rsidR="008279D0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Dolomītu un mālaini karbonātisko nogulumu uzbūve ir </w:t>
      </w:r>
      <w:r w:rsidR="008279D0" w:rsidRPr="00585667">
        <w:rPr>
          <w:sz w:val="24"/>
        </w:rPr>
        <w:t>slāņot</w:t>
      </w:r>
      <w:r w:rsidRPr="00585667">
        <w:rPr>
          <w:sz w:val="24"/>
        </w:rPr>
        <w:t xml:space="preserve">a. Atsegumos ir pārstāvēti sīkplātņaini dolomīti, mālaini dolomīti, dolomītmerģeļi, kā arī biezplātņaini, kavernozi dolomīti. Pēdējos kavernas veidojušās organismu atlieku šķīšanas rezultātā. Vietām kavernās ir kalcīta </w:t>
      </w:r>
      <w:r w:rsidR="00931645" w:rsidRPr="00585667">
        <w:rPr>
          <w:sz w:val="24"/>
        </w:rPr>
        <w:t>žeodas</w:t>
      </w:r>
      <w:r w:rsidRPr="00585667">
        <w:rPr>
          <w:sz w:val="24"/>
        </w:rPr>
        <w:t xml:space="preserve">. Dolomīti un mālainie dolomīti šajā griezumā ir daudzkrāsaini – zaļgani, rozā un violeti. Vienā no atsegumiem dolomītus pārsedz neliela biezuma violeti māli. </w:t>
      </w:r>
    </w:p>
    <w:p w:rsidR="008279D0" w:rsidRPr="00585667" w:rsidRDefault="008279D0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Ievērojamākais objekts šobrīd atsegumu joslā, tuvāk tās augšgalam, ir neliela antiklināla kroka dolomītu slāņkopā. Šajā vietā dolomītu atsegumiem arī maksimālais augstums – 3,5 m, taču to apakšdaļa ir aizaugusi. Šeit masīvi dolomīti mijas ar māliem un dolomītmerģeļiem. Dolomītu slāņu biezums ir 15-40 cm, tie ir viendabīgi, maz kavernozi, taču vietām ir kavernas ar kalcīta žeodām. Bieži dolomītu zaļganajā pamatmasā ir violeti, raibi lāsumi.</w:t>
      </w:r>
    </w:p>
    <w:p w:rsidR="00810625" w:rsidRPr="00585667" w:rsidRDefault="008279D0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lastRenderedPageBreak/>
        <w:t>Krokas rietumu daļā dolomīta slāņu krituma leņķis ir 20-24</w:t>
      </w:r>
      <w:r w:rsidRPr="00585667">
        <w:rPr>
          <w:sz w:val="24"/>
          <w:vertAlign w:val="superscript"/>
        </w:rPr>
        <w:t>o</w:t>
      </w:r>
      <w:r w:rsidRPr="00585667">
        <w:rPr>
          <w:sz w:val="24"/>
        </w:rPr>
        <w:t>, bet krituma azimuts 284-294</w:t>
      </w:r>
      <w:r w:rsidRPr="00585667">
        <w:rPr>
          <w:sz w:val="24"/>
          <w:vertAlign w:val="superscript"/>
        </w:rPr>
        <w:t>o</w:t>
      </w:r>
      <w:r w:rsidRPr="00585667">
        <w:rPr>
          <w:sz w:val="24"/>
        </w:rPr>
        <w:t>. Krokas austrumu daļā dolomīta slāņu krituma leņķis ir 22</w:t>
      </w:r>
      <w:r w:rsidRPr="00585667">
        <w:rPr>
          <w:sz w:val="24"/>
          <w:vertAlign w:val="superscript"/>
        </w:rPr>
        <w:t>o</w:t>
      </w:r>
      <w:r w:rsidRPr="00585667">
        <w:rPr>
          <w:sz w:val="24"/>
        </w:rPr>
        <w:t>, bet krituma azimuts 140</w:t>
      </w:r>
      <w:r w:rsidRPr="00585667">
        <w:rPr>
          <w:sz w:val="24"/>
          <w:vertAlign w:val="superscript"/>
        </w:rPr>
        <w:t>o</w:t>
      </w:r>
      <w:r w:rsidRPr="00585667">
        <w:rPr>
          <w:sz w:val="24"/>
        </w:rPr>
        <w:t xml:space="preserve">. </w:t>
      </w:r>
      <w:r w:rsidR="00810625" w:rsidRPr="00585667">
        <w:rPr>
          <w:sz w:val="24"/>
        </w:rPr>
        <w:t xml:space="preserve">Devona Daugavas svītas </w:t>
      </w:r>
      <w:proofErr w:type="spellStart"/>
      <w:r w:rsidR="00810625" w:rsidRPr="00585667">
        <w:rPr>
          <w:sz w:val="24"/>
        </w:rPr>
        <w:t>Oliņkalna</w:t>
      </w:r>
      <w:proofErr w:type="spellEnd"/>
      <w:r w:rsidR="00810625" w:rsidRPr="00585667">
        <w:rPr>
          <w:sz w:val="24"/>
        </w:rPr>
        <w:t xml:space="preserve"> </w:t>
      </w:r>
      <w:proofErr w:type="spellStart"/>
      <w:r w:rsidR="00810625" w:rsidRPr="00585667">
        <w:rPr>
          <w:sz w:val="24"/>
        </w:rPr>
        <w:t>ridas</w:t>
      </w:r>
      <w:proofErr w:type="spellEnd"/>
      <w:r w:rsidR="00810625" w:rsidRPr="00585667">
        <w:rPr>
          <w:sz w:val="24"/>
        </w:rPr>
        <w:t xml:space="preserve"> nogulumi ir veidojušies seklā jūrā, kur normāla sāļuma ūdens pieplūda no austrumiem – M</w:t>
      </w:r>
      <w:r w:rsidR="00585667">
        <w:rPr>
          <w:sz w:val="24"/>
        </w:rPr>
        <w:t xml:space="preserve">askavas </w:t>
      </w:r>
      <w:proofErr w:type="spellStart"/>
      <w:r w:rsidR="00585667">
        <w:rPr>
          <w:sz w:val="24"/>
        </w:rPr>
        <w:t>sineklīzes</w:t>
      </w:r>
      <w:proofErr w:type="spellEnd"/>
      <w:r w:rsidR="00585667">
        <w:rPr>
          <w:sz w:val="24"/>
        </w:rPr>
        <w:t xml:space="preserve"> teritorijas</w:t>
      </w:r>
      <w:r w:rsidR="00810625" w:rsidRPr="00585667">
        <w:rPr>
          <w:sz w:val="24"/>
        </w:rPr>
        <w:t xml:space="preserve">. Par normāla sāļuma baseina esamību liecina dolomītos sastopamās organismu atliekas, kuru šķīšanas rezultātā ir veidojušās kavernas. 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Viela</w:t>
      </w:r>
      <w:r w:rsidR="00810625" w:rsidRPr="00585667">
        <w:rPr>
          <w:b/>
          <w:bCs/>
          <w:sz w:val="24"/>
        </w:rPr>
        <w:t xml:space="preserve"> 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Devona iežos: dolomīts un māls, </w:t>
      </w:r>
      <w:r w:rsidR="00931645" w:rsidRPr="00585667">
        <w:rPr>
          <w:sz w:val="24"/>
        </w:rPr>
        <w:t>žeodā</w:t>
      </w:r>
      <w:r w:rsidRPr="00585667">
        <w:rPr>
          <w:sz w:val="24"/>
        </w:rPr>
        <w:t>s kalcīts.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Procesi</w:t>
      </w:r>
    </w:p>
    <w:p w:rsidR="00810625" w:rsidRPr="00585667" w:rsidRDefault="0093164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Mūsdienu ģeoloģiskie procesi ir mazaktīvi, nedaudz notiek Gaujas sānu erozija, kas uztur atsegumu neaizaugušu.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Dabas aizsardzība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Dabas pieminekļa teritorijā </w:t>
      </w:r>
      <w:r w:rsidR="00585667">
        <w:rPr>
          <w:sz w:val="24"/>
        </w:rPr>
        <w:t>atrodas Eiropas S</w:t>
      </w:r>
      <w:r w:rsidR="00931645" w:rsidRPr="00585667">
        <w:rPr>
          <w:sz w:val="24"/>
        </w:rPr>
        <w:t>avienības aizsargājam</w:t>
      </w:r>
      <w:r w:rsidR="00585667">
        <w:rPr>
          <w:sz w:val="24"/>
        </w:rPr>
        <w:t>s</w:t>
      </w:r>
      <w:r w:rsidR="00931645" w:rsidRPr="00585667">
        <w:rPr>
          <w:sz w:val="24"/>
        </w:rPr>
        <w:t xml:space="preserve"> biotops k</w:t>
      </w:r>
      <w:r w:rsidRPr="00585667">
        <w:rPr>
          <w:sz w:val="24"/>
        </w:rPr>
        <w:t>arbonātisku pamatiežu atsegumi.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Citas vērtības</w:t>
      </w:r>
      <w:r w:rsidR="00810625" w:rsidRPr="00585667">
        <w:rPr>
          <w:b/>
          <w:bCs/>
          <w:sz w:val="24"/>
        </w:rPr>
        <w:t xml:space="preserve"> </w:t>
      </w:r>
    </w:p>
    <w:p w:rsidR="00810625" w:rsidRPr="00585667" w:rsidRDefault="008279D0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Atsegumam nav citu būtisku vērtību.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Stāvoklis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proofErr w:type="spellStart"/>
      <w:r w:rsidRPr="00585667">
        <w:rPr>
          <w:sz w:val="24"/>
        </w:rPr>
        <w:t>Lejasbindu</w:t>
      </w:r>
      <w:proofErr w:type="spellEnd"/>
      <w:r w:rsidRPr="00585667">
        <w:rPr>
          <w:sz w:val="24"/>
        </w:rPr>
        <w:t xml:space="preserve"> krauja ir viegli pieejama no Gaujas, braucot ar laivu. No krasta augšas atsegumam piekļūt grūti, </w:t>
      </w:r>
      <w:proofErr w:type="gramStart"/>
      <w:r w:rsidRPr="00585667">
        <w:rPr>
          <w:sz w:val="24"/>
        </w:rPr>
        <w:t>pie tam</w:t>
      </w:r>
      <w:proofErr w:type="gramEnd"/>
      <w:r w:rsidRPr="00585667">
        <w:rPr>
          <w:sz w:val="24"/>
        </w:rPr>
        <w:t xml:space="preserve"> šī vieta ir tālu no autoceļiem, un ir labi jāzina, kurp tieši doties. Šobrīd atsegums ir ļoti aizaudzis un tā stāvoklis uzskatāms par sliktu.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b/>
          <w:bCs/>
          <w:sz w:val="24"/>
        </w:rPr>
        <w:t>Bojāju</w:t>
      </w:r>
      <w:r w:rsidR="00585667">
        <w:rPr>
          <w:b/>
          <w:bCs/>
          <w:sz w:val="24"/>
        </w:rPr>
        <w:t>mi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Boj</w:t>
      </w:r>
      <w:r w:rsidR="00585667">
        <w:rPr>
          <w:sz w:val="24"/>
        </w:rPr>
        <w:t>ājumi atsegumos nav konstatēti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Apdraudējumi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Intensīvā aizaugšana, iespējams, arī noslīdeņu procesi. Atsegumi jau šobrīd ir mazi, bet tuvākajā nākotnē tie var kļūt praktiski nemanāmi.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Apsaimniekošana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Objekts netiek nekādā veidā apsaimniekots vai kopts. Saimnieciskā darbība tajā un tā tuvumā netiek veikta. Robežzīmju nav.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Piezīmes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Apraksts, novērtējumi un robežu izmaiņu pamatojums balstīti uz līgumdarba pētījuma </w:t>
      </w:r>
    </w:p>
    <w:p w:rsidR="0093164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ietvaros veiktā apsekojuma un literatūras datiem.</w:t>
      </w:r>
      <w:r w:rsidR="00931645" w:rsidRPr="00585667">
        <w:rPr>
          <w:sz w:val="24"/>
        </w:rPr>
        <w:t xml:space="preserve"> Apsekoja Ģirts </w:t>
      </w:r>
      <w:proofErr w:type="spellStart"/>
      <w:r w:rsidR="00931645" w:rsidRPr="00585667">
        <w:rPr>
          <w:sz w:val="24"/>
        </w:rPr>
        <w:t>Stinkulis</w:t>
      </w:r>
      <w:proofErr w:type="spellEnd"/>
      <w:r w:rsidR="00931645" w:rsidRPr="00585667">
        <w:rPr>
          <w:sz w:val="24"/>
        </w:rPr>
        <w:t>, 14.08.2014.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Novērtējumi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Unikālās vērtības – </w:t>
      </w:r>
      <w:r w:rsidR="008279D0" w:rsidRPr="00585667">
        <w:rPr>
          <w:sz w:val="24"/>
        </w:rPr>
        <w:t>3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Ainaviskums – </w:t>
      </w:r>
      <w:r w:rsidR="008279D0" w:rsidRPr="00585667">
        <w:rPr>
          <w:sz w:val="24"/>
        </w:rPr>
        <w:t>2</w:t>
      </w:r>
    </w:p>
    <w:p w:rsidR="00F40232" w:rsidRDefault="00F40232" w:rsidP="00585667">
      <w:pPr>
        <w:spacing w:after="0" w:line="240" w:lineRule="auto"/>
        <w:jc w:val="both"/>
        <w:rPr>
          <w:sz w:val="24"/>
        </w:rPr>
      </w:pPr>
      <w:r>
        <w:rPr>
          <w:sz w:val="24"/>
        </w:rPr>
        <w:t>Zinātniskais nozīmīgums:</w:t>
      </w:r>
    </w:p>
    <w:p w:rsidR="00810625" w:rsidRPr="00585667" w:rsidRDefault="00810625" w:rsidP="00F40232">
      <w:pPr>
        <w:spacing w:after="0" w:line="240" w:lineRule="auto"/>
        <w:ind w:firstLine="720"/>
        <w:jc w:val="both"/>
        <w:rPr>
          <w:sz w:val="24"/>
        </w:rPr>
      </w:pPr>
      <w:proofErr w:type="spellStart"/>
      <w:r w:rsidRPr="00585667">
        <w:rPr>
          <w:sz w:val="24"/>
        </w:rPr>
        <w:t>Stratigrāfija</w:t>
      </w:r>
      <w:proofErr w:type="spellEnd"/>
      <w:r w:rsidRPr="00585667">
        <w:rPr>
          <w:sz w:val="24"/>
        </w:rPr>
        <w:t xml:space="preserve"> – </w:t>
      </w:r>
      <w:r w:rsidR="008279D0" w:rsidRPr="00585667">
        <w:rPr>
          <w:sz w:val="24"/>
        </w:rPr>
        <w:t>3</w:t>
      </w:r>
    </w:p>
    <w:p w:rsidR="00810625" w:rsidRPr="00585667" w:rsidRDefault="00810625" w:rsidP="00F40232">
      <w:pPr>
        <w:spacing w:after="0" w:line="240" w:lineRule="auto"/>
        <w:ind w:firstLine="720"/>
        <w:jc w:val="both"/>
        <w:rPr>
          <w:sz w:val="24"/>
        </w:rPr>
      </w:pPr>
      <w:r w:rsidRPr="00585667">
        <w:rPr>
          <w:sz w:val="24"/>
        </w:rPr>
        <w:t xml:space="preserve">Uzbūve – </w:t>
      </w:r>
      <w:r w:rsidR="008279D0" w:rsidRPr="00585667">
        <w:rPr>
          <w:sz w:val="24"/>
        </w:rPr>
        <w:t>3</w:t>
      </w:r>
    </w:p>
    <w:p w:rsidR="00810625" w:rsidRPr="00585667" w:rsidRDefault="00810625" w:rsidP="00F40232">
      <w:pPr>
        <w:spacing w:after="0" w:line="240" w:lineRule="auto"/>
        <w:ind w:firstLine="720"/>
        <w:jc w:val="both"/>
        <w:rPr>
          <w:sz w:val="24"/>
        </w:rPr>
      </w:pPr>
      <w:r w:rsidRPr="00585667">
        <w:rPr>
          <w:sz w:val="24"/>
        </w:rPr>
        <w:t xml:space="preserve">Viela – </w:t>
      </w:r>
      <w:r w:rsidR="008279D0" w:rsidRPr="00585667">
        <w:rPr>
          <w:sz w:val="24"/>
        </w:rPr>
        <w:t>2</w:t>
      </w:r>
    </w:p>
    <w:p w:rsidR="00810625" w:rsidRPr="00585667" w:rsidRDefault="00810625" w:rsidP="00F40232">
      <w:pPr>
        <w:spacing w:after="0" w:line="240" w:lineRule="auto"/>
        <w:ind w:firstLine="720"/>
        <w:jc w:val="both"/>
        <w:rPr>
          <w:sz w:val="24"/>
        </w:rPr>
      </w:pPr>
      <w:r w:rsidRPr="00585667">
        <w:rPr>
          <w:sz w:val="24"/>
        </w:rPr>
        <w:t xml:space="preserve">Procesi – </w:t>
      </w:r>
      <w:r w:rsidR="008279D0" w:rsidRPr="00585667">
        <w:rPr>
          <w:sz w:val="24"/>
        </w:rPr>
        <w:t>2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Citas vērtības – </w:t>
      </w:r>
      <w:r w:rsidR="008279D0" w:rsidRPr="00585667">
        <w:rPr>
          <w:sz w:val="24"/>
        </w:rPr>
        <w:t>3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Novērtējumu summa - </w:t>
      </w:r>
      <w:r w:rsidR="008279D0" w:rsidRPr="00585667">
        <w:rPr>
          <w:sz w:val="24"/>
        </w:rPr>
        <w:t>18</w:t>
      </w:r>
    </w:p>
    <w:p w:rsidR="00810625" w:rsidRPr="00585667" w:rsidRDefault="00585667" w:rsidP="00585667">
      <w:pPr>
        <w:spacing w:after="0" w:line="240" w:lineRule="auto"/>
        <w:jc w:val="both"/>
        <w:rPr>
          <w:sz w:val="24"/>
        </w:rPr>
      </w:pPr>
      <w:bookmarkStart w:id="0" w:name="_GoBack"/>
      <w:bookmarkEnd w:id="0"/>
      <w:r>
        <w:rPr>
          <w:b/>
          <w:bCs/>
          <w:sz w:val="24"/>
        </w:rPr>
        <w:t>Robežu izmaiņu pamatojums</w:t>
      </w:r>
    </w:p>
    <w:p w:rsidR="00810625" w:rsidRPr="00585667" w:rsidRDefault="008279D0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>D</w:t>
      </w:r>
      <w:r w:rsidR="00810625" w:rsidRPr="00585667">
        <w:rPr>
          <w:sz w:val="24"/>
        </w:rPr>
        <w:t xml:space="preserve">abas pieminekļa </w:t>
      </w:r>
      <w:r w:rsidRPr="00585667">
        <w:rPr>
          <w:sz w:val="24"/>
        </w:rPr>
        <w:t>robežas vilk</w:t>
      </w:r>
      <w:r w:rsidR="00810625" w:rsidRPr="00585667">
        <w:rPr>
          <w:sz w:val="24"/>
        </w:rPr>
        <w:t xml:space="preserve">tas atbilstoši atsegumu joslas izvietojumam. </w:t>
      </w:r>
      <w:r w:rsidRPr="00585667">
        <w:rPr>
          <w:sz w:val="24"/>
        </w:rPr>
        <w:t>Ņemtas vērā arī zemes kadastru robežas un meža nogabalu izvietojums</w:t>
      </w:r>
      <w:r w:rsidR="00810625" w:rsidRPr="00585667">
        <w:rPr>
          <w:sz w:val="24"/>
        </w:rPr>
        <w:t>.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b/>
          <w:bCs/>
          <w:sz w:val="24"/>
        </w:rPr>
        <w:t>Ieteikumi a</w:t>
      </w:r>
      <w:r w:rsidR="00585667">
        <w:rPr>
          <w:b/>
          <w:bCs/>
          <w:sz w:val="24"/>
        </w:rPr>
        <w:t>izsardzībai un apsaimniekošanai</w:t>
      </w:r>
    </w:p>
    <w:p w:rsidR="008279D0" w:rsidRPr="00585667" w:rsidRDefault="008279D0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lastRenderedPageBreak/>
        <w:t xml:space="preserve">Teritoriju nepieciešams saglabāt kā dabas veidojumu, kas nozīmīgs zinātniskiem ģeoloģiskiem (stratigrāfijas, ģeoloģisko procesu, ģeomorfoloģijas, paleontoloģijas un sedimentoloģijas) pētījumiem, kā arī dzīvās dabas vērtībām. 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  <w:r w:rsidRPr="00585667">
        <w:rPr>
          <w:sz w:val="24"/>
        </w:rPr>
        <w:t xml:space="preserve">Uz </w:t>
      </w:r>
      <w:r w:rsidR="008279D0" w:rsidRPr="00585667">
        <w:rPr>
          <w:sz w:val="24"/>
        </w:rPr>
        <w:t>atsegumiem</w:t>
      </w:r>
      <w:r w:rsidRPr="00585667">
        <w:rPr>
          <w:sz w:val="24"/>
        </w:rPr>
        <w:t xml:space="preserve"> vajadzētu ierīkot norādes, </w:t>
      </w:r>
      <w:r w:rsidR="008279D0" w:rsidRPr="00585667">
        <w:rPr>
          <w:sz w:val="24"/>
        </w:rPr>
        <w:t>kā arī izvietot nelielu stendu ar ģeoloģiska satura</w:t>
      </w:r>
      <w:proofErr w:type="gramStart"/>
      <w:r w:rsidR="008279D0" w:rsidRPr="00585667">
        <w:rPr>
          <w:sz w:val="24"/>
        </w:rPr>
        <w:t xml:space="preserve"> </w:t>
      </w:r>
      <w:r w:rsidRPr="00585667">
        <w:rPr>
          <w:sz w:val="24"/>
        </w:rPr>
        <w:t xml:space="preserve"> </w:t>
      </w:r>
      <w:proofErr w:type="gramEnd"/>
      <w:r w:rsidRPr="00585667">
        <w:rPr>
          <w:sz w:val="24"/>
        </w:rPr>
        <w:t>informācij</w:t>
      </w:r>
      <w:r w:rsidR="008279D0" w:rsidRPr="00585667">
        <w:rPr>
          <w:sz w:val="24"/>
        </w:rPr>
        <w:t>u</w:t>
      </w:r>
      <w:r w:rsidRPr="00585667">
        <w:rPr>
          <w:sz w:val="24"/>
        </w:rPr>
        <w:t xml:space="preserve">.  </w:t>
      </w: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</w:p>
    <w:p w:rsidR="00810625" w:rsidRPr="00585667" w:rsidRDefault="00810625" w:rsidP="00585667">
      <w:pPr>
        <w:spacing w:after="0" w:line="240" w:lineRule="auto"/>
        <w:jc w:val="both"/>
        <w:rPr>
          <w:sz w:val="24"/>
        </w:rPr>
      </w:pPr>
    </w:p>
    <w:p w:rsidR="00585667" w:rsidRDefault="00585667" w:rsidP="00585667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810625" w:rsidRPr="00585667" w:rsidRDefault="00810625" w:rsidP="00585667">
      <w:pPr>
        <w:spacing w:after="0" w:line="240" w:lineRule="auto"/>
        <w:jc w:val="both"/>
        <w:rPr>
          <w:b/>
          <w:sz w:val="24"/>
        </w:rPr>
      </w:pPr>
    </w:p>
    <w:sectPr w:rsidR="00810625" w:rsidRPr="005856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0E35E2"/>
    <w:rsid w:val="00101C6A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85667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810625"/>
    <w:rsid w:val="008279D0"/>
    <w:rsid w:val="00885900"/>
    <w:rsid w:val="008C7C27"/>
    <w:rsid w:val="008E2D9C"/>
    <w:rsid w:val="008F1193"/>
    <w:rsid w:val="008F52CD"/>
    <w:rsid w:val="00903373"/>
    <w:rsid w:val="00916037"/>
    <w:rsid w:val="00930687"/>
    <w:rsid w:val="00931645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D80290"/>
    <w:rsid w:val="00DB523C"/>
    <w:rsid w:val="00DC15C2"/>
    <w:rsid w:val="00DC5315"/>
    <w:rsid w:val="00DE0220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40232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E96"/>
  <w15:docId w15:val="{32E0EACF-C7D3-49EF-9CFB-89907D30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8106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ezatstarpm1">
    <w:name w:val="Bez atstarpēm1"/>
    <w:rsid w:val="00810625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rsid w:val="00810625"/>
    <w:rPr>
      <w:color w:val="0000FF"/>
      <w:u w:val="single"/>
    </w:rPr>
  </w:style>
  <w:style w:type="paragraph" w:styleId="BodyText">
    <w:name w:val="Body Text"/>
    <w:basedOn w:val="Normal"/>
    <w:link w:val="BodyTextChar"/>
    <w:rsid w:val="0081062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10625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4464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7</cp:revision>
  <dcterms:created xsi:type="dcterms:W3CDTF">2016-07-13T15:12:00Z</dcterms:created>
  <dcterms:modified xsi:type="dcterms:W3CDTF">2017-06-02T07:50:00Z</dcterms:modified>
</cp:coreProperties>
</file>