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EC01A7" w:rsidRDefault="00556F19" w:rsidP="00C7282A">
      <w:pPr>
        <w:pStyle w:val="NoSpacing"/>
        <w:jc w:val="center"/>
        <w:rPr>
          <w:b/>
          <w:sz w:val="28"/>
          <w:szCs w:val="28"/>
        </w:rPr>
      </w:pPr>
      <w:r w:rsidRPr="00EC01A7">
        <w:rPr>
          <w:sz w:val="28"/>
          <w:szCs w:val="28"/>
        </w:rPr>
        <w:t xml:space="preserve">Ģeoloģiskais dabas piemineklis </w:t>
      </w:r>
      <w:r w:rsidR="000C4785" w:rsidRPr="00EC01A7">
        <w:rPr>
          <w:b/>
          <w:sz w:val="28"/>
          <w:szCs w:val="28"/>
        </w:rPr>
        <w:tab/>
      </w:r>
      <w:r w:rsidR="009416BB" w:rsidRPr="00EC01A7">
        <w:rPr>
          <w:b/>
          <w:sz w:val="28"/>
          <w:szCs w:val="28"/>
        </w:rPr>
        <w:t xml:space="preserve">Embūtes </w:t>
      </w:r>
      <w:r w:rsidR="00225073" w:rsidRPr="00EC01A7">
        <w:rPr>
          <w:b/>
          <w:sz w:val="28"/>
          <w:szCs w:val="28"/>
        </w:rPr>
        <w:t>Joda dambi</w:t>
      </w:r>
      <w:r w:rsidR="009416BB" w:rsidRPr="00EC01A7">
        <w:rPr>
          <w:b/>
          <w:sz w:val="28"/>
          <w:szCs w:val="28"/>
        </w:rPr>
        <w:t>s</w:t>
      </w:r>
    </w:p>
    <w:p w:rsidR="00A44B2A" w:rsidRPr="00EC01A7" w:rsidRDefault="00FC07DD" w:rsidP="00C7282A">
      <w:pPr>
        <w:pStyle w:val="NoSpacing"/>
        <w:jc w:val="center"/>
        <w:rPr>
          <w:sz w:val="28"/>
          <w:szCs w:val="28"/>
        </w:rPr>
      </w:pPr>
      <w:r w:rsidRPr="00EC01A7">
        <w:rPr>
          <w:sz w:val="28"/>
          <w:szCs w:val="28"/>
        </w:rPr>
        <w:t xml:space="preserve">MK 175. noteikumu piel. Nr. </w:t>
      </w:r>
      <w:r w:rsidR="009B029B" w:rsidRPr="00EC01A7">
        <w:rPr>
          <w:sz w:val="28"/>
          <w:szCs w:val="28"/>
        </w:rPr>
        <w:t>1</w:t>
      </w:r>
      <w:r w:rsidR="009416BB" w:rsidRPr="00EC01A7">
        <w:rPr>
          <w:sz w:val="28"/>
          <w:szCs w:val="28"/>
        </w:rPr>
        <w:t>0</w:t>
      </w:r>
      <w:r w:rsidR="00311DA2" w:rsidRPr="00EC01A7">
        <w:rPr>
          <w:sz w:val="28"/>
          <w:szCs w:val="28"/>
        </w:rPr>
        <w:t>1</w:t>
      </w:r>
    </w:p>
    <w:p w:rsidR="00AB7B93" w:rsidRPr="00EC01A7" w:rsidRDefault="00AB7B93" w:rsidP="007A4563">
      <w:pPr>
        <w:pStyle w:val="NoSpacing"/>
        <w:rPr>
          <w:b/>
        </w:rPr>
      </w:pPr>
    </w:p>
    <w:p w:rsidR="004901A4" w:rsidRPr="00EC01A7" w:rsidRDefault="004901A4" w:rsidP="004901A4">
      <w:pPr>
        <w:spacing w:after="0" w:line="15" w:lineRule="exact"/>
        <w:ind w:firstLine="567"/>
        <w:rPr>
          <w:rFonts w:eastAsia="Times New Roman"/>
          <w:sz w:val="24"/>
        </w:rPr>
      </w:pPr>
    </w:p>
    <w:p w:rsidR="004901A4" w:rsidRPr="00EC01A7" w:rsidRDefault="004901A4" w:rsidP="004901A4">
      <w:pPr>
        <w:spacing w:after="0" w:line="14" w:lineRule="exact"/>
        <w:ind w:firstLine="567"/>
        <w:rPr>
          <w:rFonts w:eastAsia="Times New Roman"/>
        </w:rPr>
      </w:pPr>
    </w:p>
    <w:p w:rsidR="00256E8B" w:rsidRPr="00EC01A7" w:rsidRDefault="00256E8B" w:rsidP="00895652">
      <w:pPr>
        <w:spacing w:after="0"/>
        <w:jc w:val="both"/>
        <w:rPr>
          <w:b/>
        </w:rPr>
      </w:pPr>
    </w:p>
    <w:p w:rsidR="007A4563" w:rsidRPr="00EC01A7" w:rsidRDefault="00EC01A7" w:rsidP="00895652">
      <w:pPr>
        <w:spacing w:after="0"/>
        <w:jc w:val="both"/>
        <w:rPr>
          <w:b/>
          <w:sz w:val="24"/>
          <w:szCs w:val="24"/>
        </w:rPr>
      </w:pPr>
      <w:r>
        <w:rPr>
          <w:b/>
          <w:sz w:val="24"/>
          <w:szCs w:val="24"/>
        </w:rPr>
        <w:t>Detalizēts apraksts</w:t>
      </w:r>
    </w:p>
    <w:p w:rsidR="002C5F24" w:rsidRPr="00EC01A7" w:rsidRDefault="00EC01A7" w:rsidP="00895652">
      <w:pPr>
        <w:pStyle w:val="NoSpacing"/>
        <w:jc w:val="both"/>
        <w:rPr>
          <w:b/>
          <w:sz w:val="24"/>
          <w:szCs w:val="24"/>
        </w:rPr>
      </w:pPr>
      <w:r>
        <w:rPr>
          <w:b/>
          <w:sz w:val="24"/>
          <w:szCs w:val="24"/>
        </w:rPr>
        <w:t>Adrese</w:t>
      </w:r>
    </w:p>
    <w:p w:rsidR="0002328F" w:rsidRPr="00EC01A7" w:rsidRDefault="009416BB" w:rsidP="00895652">
      <w:pPr>
        <w:pStyle w:val="NoSpacing"/>
        <w:jc w:val="both"/>
        <w:rPr>
          <w:sz w:val="24"/>
          <w:szCs w:val="24"/>
        </w:rPr>
      </w:pPr>
      <w:r w:rsidRPr="00EC01A7">
        <w:rPr>
          <w:sz w:val="24"/>
          <w:szCs w:val="24"/>
        </w:rPr>
        <w:t>Vaiņode</w:t>
      </w:r>
      <w:r w:rsidR="00AB7350" w:rsidRPr="00EC01A7">
        <w:rPr>
          <w:sz w:val="24"/>
          <w:szCs w:val="24"/>
        </w:rPr>
        <w:t xml:space="preserve">s novadā, </w:t>
      </w:r>
      <w:r w:rsidRPr="00EC01A7">
        <w:rPr>
          <w:sz w:val="24"/>
          <w:szCs w:val="24"/>
        </w:rPr>
        <w:t>Embūte</w:t>
      </w:r>
      <w:r w:rsidR="00AB7350" w:rsidRPr="00EC01A7">
        <w:rPr>
          <w:sz w:val="24"/>
          <w:szCs w:val="24"/>
        </w:rPr>
        <w:t>s pagastā,</w:t>
      </w:r>
      <w:r w:rsidR="006F1432" w:rsidRPr="00EC01A7">
        <w:rPr>
          <w:sz w:val="24"/>
          <w:szCs w:val="24"/>
        </w:rPr>
        <w:t xml:space="preserve"> ietilpst</w:t>
      </w:r>
      <w:r w:rsidRPr="00EC01A7">
        <w:rPr>
          <w:sz w:val="24"/>
          <w:szCs w:val="24"/>
        </w:rPr>
        <w:t xml:space="preserve"> dabas park</w:t>
      </w:r>
      <w:r w:rsidR="006F1432" w:rsidRPr="00EC01A7">
        <w:rPr>
          <w:sz w:val="24"/>
          <w:szCs w:val="24"/>
        </w:rPr>
        <w:t>ā</w:t>
      </w:r>
      <w:r w:rsidRPr="00EC01A7">
        <w:rPr>
          <w:sz w:val="24"/>
          <w:szCs w:val="24"/>
        </w:rPr>
        <w:t xml:space="preserve"> un </w:t>
      </w:r>
      <w:proofErr w:type="gramStart"/>
      <w:r w:rsidRPr="00EC01A7">
        <w:rPr>
          <w:sz w:val="24"/>
          <w:szCs w:val="24"/>
        </w:rPr>
        <w:t>Natura</w:t>
      </w:r>
      <w:proofErr w:type="gramEnd"/>
      <w:r w:rsidRPr="00EC01A7">
        <w:rPr>
          <w:sz w:val="24"/>
          <w:szCs w:val="24"/>
        </w:rPr>
        <w:t xml:space="preserve"> 2000 teritorij</w:t>
      </w:r>
      <w:r w:rsidR="006F1432" w:rsidRPr="00EC01A7">
        <w:rPr>
          <w:sz w:val="24"/>
          <w:szCs w:val="24"/>
        </w:rPr>
        <w:t>ā</w:t>
      </w:r>
      <w:r w:rsidRPr="00EC01A7">
        <w:rPr>
          <w:sz w:val="24"/>
          <w:szCs w:val="24"/>
        </w:rPr>
        <w:t xml:space="preserve"> Embūte</w:t>
      </w:r>
      <w:r w:rsidR="00170FE2" w:rsidRPr="00EC01A7">
        <w:rPr>
          <w:sz w:val="24"/>
          <w:szCs w:val="24"/>
        </w:rPr>
        <w:t>.</w:t>
      </w:r>
    </w:p>
    <w:p w:rsidR="00C704E1" w:rsidRPr="00EC01A7" w:rsidRDefault="00C704E1" w:rsidP="00C704E1">
      <w:pPr>
        <w:spacing w:after="0" w:line="240" w:lineRule="auto"/>
        <w:jc w:val="both"/>
        <w:rPr>
          <w:rFonts w:ascii="Calibri" w:eastAsia="Times New Roman" w:hAnsi="Calibri" w:cs="Calibri"/>
          <w:sz w:val="24"/>
          <w:szCs w:val="24"/>
          <w:lang w:eastAsia="lv-LV"/>
        </w:rPr>
      </w:pPr>
      <w:r w:rsidRPr="00EC01A7">
        <w:rPr>
          <w:rFonts w:ascii="Calibri" w:eastAsia="Times New Roman" w:hAnsi="Calibri" w:cs="Calibri"/>
          <w:sz w:val="24"/>
          <w:szCs w:val="24"/>
          <w:lang w:eastAsia="lv-LV"/>
        </w:rPr>
        <w:t>Ģeogrāfiskās koordinātes E21° 49,115' un N56° 30,587', jeb x365759, y264951 LKS92 sistēmā.</w:t>
      </w:r>
    </w:p>
    <w:p w:rsidR="00C7282A" w:rsidRPr="00EC01A7" w:rsidRDefault="00D80290" w:rsidP="00895652">
      <w:pPr>
        <w:pStyle w:val="NoSpacing"/>
        <w:jc w:val="both"/>
        <w:rPr>
          <w:b/>
          <w:sz w:val="24"/>
          <w:szCs w:val="24"/>
        </w:rPr>
      </w:pPr>
      <w:r w:rsidRPr="00EC01A7">
        <w:rPr>
          <w:b/>
          <w:sz w:val="24"/>
          <w:szCs w:val="24"/>
        </w:rPr>
        <w:t>Ģeo</w:t>
      </w:r>
      <w:r w:rsidR="0002328F" w:rsidRPr="00EC01A7">
        <w:rPr>
          <w:b/>
          <w:sz w:val="24"/>
          <w:szCs w:val="24"/>
        </w:rPr>
        <w:t>grāfiskais novietojums</w:t>
      </w:r>
    </w:p>
    <w:p w:rsidR="002C5F24" w:rsidRPr="00EC01A7" w:rsidRDefault="009416BB" w:rsidP="00895652">
      <w:pPr>
        <w:pStyle w:val="NoSpacing"/>
        <w:jc w:val="both"/>
        <w:rPr>
          <w:sz w:val="24"/>
          <w:szCs w:val="24"/>
        </w:rPr>
      </w:pPr>
      <w:proofErr w:type="spellStart"/>
      <w:r w:rsidRPr="00EC01A7">
        <w:rPr>
          <w:sz w:val="24"/>
          <w:szCs w:val="24"/>
        </w:rPr>
        <w:t>Rietumkurzemes</w:t>
      </w:r>
      <w:proofErr w:type="spellEnd"/>
      <w:r w:rsidRPr="00EC01A7">
        <w:rPr>
          <w:sz w:val="24"/>
          <w:szCs w:val="24"/>
        </w:rPr>
        <w:t xml:space="preserve"> </w:t>
      </w:r>
      <w:r w:rsidR="00256E8B" w:rsidRPr="00EC01A7">
        <w:rPr>
          <w:sz w:val="24"/>
          <w:szCs w:val="24"/>
        </w:rPr>
        <w:t>augst</w:t>
      </w:r>
      <w:r w:rsidRPr="00EC01A7">
        <w:rPr>
          <w:sz w:val="24"/>
          <w:szCs w:val="24"/>
        </w:rPr>
        <w:t>ienē, Embūtes paugurainē</w:t>
      </w:r>
      <w:r w:rsidR="006C0979" w:rsidRPr="00EC01A7">
        <w:rPr>
          <w:sz w:val="24"/>
          <w:szCs w:val="24"/>
        </w:rPr>
        <w:t>.</w:t>
      </w:r>
    </w:p>
    <w:p w:rsidR="0002328F" w:rsidRPr="00EC01A7" w:rsidRDefault="00EC01A7" w:rsidP="00895652">
      <w:pPr>
        <w:pStyle w:val="NoSpacing"/>
        <w:jc w:val="both"/>
        <w:rPr>
          <w:b/>
          <w:sz w:val="24"/>
          <w:szCs w:val="24"/>
        </w:rPr>
      </w:pPr>
      <w:r>
        <w:rPr>
          <w:b/>
          <w:sz w:val="24"/>
          <w:szCs w:val="24"/>
        </w:rPr>
        <w:t>Ģeoloģiskie veidojumi</w:t>
      </w:r>
    </w:p>
    <w:p w:rsidR="00256E8B" w:rsidRPr="00EC01A7" w:rsidRDefault="006F1432" w:rsidP="00895652">
      <w:pPr>
        <w:pStyle w:val="NoSpacing"/>
        <w:jc w:val="both"/>
        <w:rPr>
          <w:rFonts w:eastAsia="Times New Roman"/>
          <w:sz w:val="24"/>
          <w:szCs w:val="24"/>
        </w:rPr>
      </w:pPr>
      <w:r w:rsidRPr="00EC01A7">
        <w:rPr>
          <w:rFonts w:eastAsia="Times New Roman"/>
          <w:sz w:val="24"/>
          <w:szCs w:val="24"/>
        </w:rPr>
        <w:t>Dabas pieminekli veido savdabīgās kompleksās Lankas senlejas posms ar tajā</w:t>
      </w:r>
      <w:proofErr w:type="gramStart"/>
      <w:r w:rsidRPr="00EC01A7">
        <w:rPr>
          <w:rFonts w:eastAsia="Times New Roman"/>
          <w:sz w:val="24"/>
          <w:szCs w:val="24"/>
        </w:rPr>
        <w:t xml:space="preserve">  </w:t>
      </w:r>
      <w:proofErr w:type="gramEnd"/>
      <w:r w:rsidRPr="00EC01A7">
        <w:rPr>
          <w:rFonts w:eastAsia="Times New Roman"/>
          <w:sz w:val="24"/>
          <w:szCs w:val="24"/>
        </w:rPr>
        <w:t>ietilpstošajām vaļņveida reljefa formām, kas pēc savas morfoloģijas atgādina osus. Attiecībā uz nosaukumu Joda dambis ir pretrunīga informācija, tomēr visticamāk, ka ar to ir apzīmētas tieši minētās vaļņveida formas.</w:t>
      </w:r>
    </w:p>
    <w:p w:rsidR="00D52BC2" w:rsidRPr="00EC01A7" w:rsidRDefault="00EC01A7" w:rsidP="00895652">
      <w:pPr>
        <w:pStyle w:val="NoSpacing"/>
        <w:jc w:val="both"/>
        <w:rPr>
          <w:b/>
          <w:bCs/>
          <w:sz w:val="24"/>
          <w:szCs w:val="24"/>
        </w:rPr>
      </w:pPr>
      <w:r>
        <w:rPr>
          <w:b/>
          <w:bCs/>
          <w:sz w:val="24"/>
          <w:szCs w:val="24"/>
        </w:rPr>
        <w:t>Izmēri</w:t>
      </w:r>
    </w:p>
    <w:p w:rsidR="00256E8B" w:rsidRPr="00EC01A7" w:rsidRDefault="00C704E1" w:rsidP="00895652">
      <w:pPr>
        <w:pStyle w:val="NoSpacing"/>
        <w:jc w:val="both"/>
        <w:rPr>
          <w:rFonts w:eastAsia="Times New Roman"/>
          <w:sz w:val="24"/>
          <w:szCs w:val="24"/>
        </w:rPr>
      </w:pPr>
      <w:r w:rsidRPr="00EC01A7">
        <w:rPr>
          <w:rFonts w:eastAsia="Times New Roman"/>
          <w:sz w:val="24"/>
          <w:szCs w:val="24"/>
        </w:rPr>
        <w:t>Dabas pieminekļa platība ir 39,98 ha.</w:t>
      </w:r>
    </w:p>
    <w:p w:rsidR="00D52BC2" w:rsidRPr="00EC01A7" w:rsidRDefault="00EC01A7" w:rsidP="00895652">
      <w:pPr>
        <w:pStyle w:val="NoSpacing"/>
        <w:jc w:val="both"/>
        <w:rPr>
          <w:sz w:val="24"/>
          <w:szCs w:val="24"/>
        </w:rPr>
      </w:pPr>
      <w:r>
        <w:rPr>
          <w:b/>
          <w:bCs/>
          <w:sz w:val="24"/>
          <w:szCs w:val="24"/>
        </w:rPr>
        <w:t>Debits</w:t>
      </w:r>
    </w:p>
    <w:p w:rsidR="00D52BC2" w:rsidRPr="00EC01A7" w:rsidRDefault="006507F4" w:rsidP="00895652">
      <w:pPr>
        <w:pStyle w:val="NoSpacing"/>
        <w:jc w:val="both"/>
        <w:rPr>
          <w:sz w:val="24"/>
          <w:szCs w:val="24"/>
        </w:rPr>
      </w:pPr>
      <w:r w:rsidRPr="00EC01A7">
        <w:rPr>
          <w:sz w:val="24"/>
          <w:szCs w:val="24"/>
        </w:rPr>
        <w:t>Avotu debiti netika noteikti.</w:t>
      </w:r>
    </w:p>
    <w:p w:rsidR="00D52BC2" w:rsidRPr="00EC01A7" w:rsidRDefault="00EC01A7" w:rsidP="00895652">
      <w:pPr>
        <w:pStyle w:val="NoSpacing"/>
        <w:jc w:val="both"/>
        <w:rPr>
          <w:sz w:val="24"/>
          <w:szCs w:val="24"/>
        </w:rPr>
      </w:pPr>
      <w:r>
        <w:rPr>
          <w:b/>
          <w:bCs/>
          <w:sz w:val="24"/>
          <w:szCs w:val="24"/>
        </w:rPr>
        <w:t>Unikālās vērtības</w:t>
      </w:r>
      <w:r w:rsidR="00D52BC2" w:rsidRPr="00EC01A7">
        <w:rPr>
          <w:b/>
          <w:bCs/>
          <w:sz w:val="24"/>
          <w:szCs w:val="24"/>
        </w:rPr>
        <w:t xml:space="preserve"> </w:t>
      </w:r>
    </w:p>
    <w:p w:rsidR="00895652" w:rsidRPr="00EC01A7" w:rsidRDefault="006507F4" w:rsidP="00895652">
      <w:pPr>
        <w:spacing w:after="0" w:line="236" w:lineRule="auto"/>
        <w:jc w:val="both"/>
        <w:rPr>
          <w:rFonts w:eastAsia="Times New Roman"/>
          <w:sz w:val="24"/>
          <w:szCs w:val="24"/>
        </w:rPr>
      </w:pPr>
      <w:r w:rsidRPr="00EC01A7">
        <w:rPr>
          <w:rFonts w:eastAsia="Times New Roman"/>
          <w:sz w:val="24"/>
          <w:szCs w:val="24"/>
        </w:rPr>
        <w:t>Savdabīgais un ainaviski ļoti izteiksmīgais Joda dambis, kas ir oss vai citas izcelsmes vaļņveida forma, kura ģeoloģiskā izpēte vēl ir veicama.</w:t>
      </w:r>
    </w:p>
    <w:p w:rsidR="00D52BC2" w:rsidRPr="00EC01A7" w:rsidRDefault="00EC01A7" w:rsidP="00895652">
      <w:pPr>
        <w:pStyle w:val="NoSpacing"/>
        <w:jc w:val="both"/>
        <w:rPr>
          <w:sz w:val="24"/>
          <w:szCs w:val="24"/>
        </w:rPr>
      </w:pPr>
      <w:r>
        <w:rPr>
          <w:b/>
          <w:bCs/>
          <w:sz w:val="24"/>
          <w:szCs w:val="24"/>
        </w:rPr>
        <w:t>Ainaviskuma raksturojums</w:t>
      </w:r>
      <w:r w:rsidR="00D52BC2" w:rsidRPr="00EC01A7">
        <w:rPr>
          <w:b/>
          <w:bCs/>
          <w:sz w:val="24"/>
          <w:szCs w:val="24"/>
        </w:rPr>
        <w:t xml:space="preserve"> </w:t>
      </w:r>
    </w:p>
    <w:p w:rsidR="00256E8B" w:rsidRPr="00EC01A7" w:rsidRDefault="006507F4" w:rsidP="00895652">
      <w:pPr>
        <w:pStyle w:val="NoSpacing"/>
        <w:jc w:val="both"/>
        <w:rPr>
          <w:rFonts w:eastAsia="Times New Roman"/>
          <w:sz w:val="24"/>
          <w:szCs w:val="24"/>
        </w:rPr>
      </w:pPr>
      <w:r w:rsidRPr="00EC01A7">
        <w:rPr>
          <w:rFonts w:eastAsia="Times New Roman"/>
          <w:sz w:val="24"/>
          <w:szCs w:val="24"/>
        </w:rPr>
        <w:t>Teritorijai ainaviskumu piešķir apkārtnes artikulētais reljefs, kur nogāžu meži mijas ar atklātām lauksaimniecības zemēm, kultūrvēsturiskajiem objektiem un tradicionālajām Latvijas viensētām.</w:t>
      </w:r>
    </w:p>
    <w:p w:rsidR="00D52BC2" w:rsidRPr="00EC01A7" w:rsidRDefault="00EC01A7" w:rsidP="00895652">
      <w:pPr>
        <w:pStyle w:val="NoSpacing"/>
        <w:jc w:val="both"/>
        <w:rPr>
          <w:sz w:val="24"/>
          <w:szCs w:val="24"/>
        </w:rPr>
      </w:pPr>
      <w:proofErr w:type="spellStart"/>
      <w:r>
        <w:rPr>
          <w:b/>
          <w:bCs/>
          <w:sz w:val="24"/>
          <w:szCs w:val="24"/>
        </w:rPr>
        <w:t>Stratigrāfija</w:t>
      </w:r>
      <w:proofErr w:type="spellEnd"/>
    </w:p>
    <w:p w:rsidR="00895652" w:rsidRPr="00EC01A7" w:rsidRDefault="00895652" w:rsidP="00895652">
      <w:pPr>
        <w:spacing w:after="0" w:line="235" w:lineRule="auto"/>
        <w:ind w:right="20"/>
        <w:jc w:val="both"/>
        <w:rPr>
          <w:rFonts w:eastAsia="Times New Roman"/>
          <w:sz w:val="24"/>
          <w:szCs w:val="24"/>
        </w:rPr>
      </w:pPr>
      <w:r w:rsidRPr="00EC01A7">
        <w:rPr>
          <w:rFonts w:eastAsia="Times New Roman"/>
          <w:sz w:val="24"/>
          <w:szCs w:val="24"/>
        </w:rPr>
        <w:t xml:space="preserve">Lankas senlejas veidošanās </w:t>
      </w:r>
      <w:r w:rsidR="006507F4" w:rsidRPr="00EC01A7">
        <w:rPr>
          <w:rFonts w:eastAsia="Times New Roman"/>
          <w:sz w:val="24"/>
          <w:szCs w:val="24"/>
        </w:rPr>
        <w:t xml:space="preserve">un </w:t>
      </w:r>
      <w:r w:rsidRPr="00EC01A7">
        <w:rPr>
          <w:rFonts w:eastAsia="Times New Roman"/>
          <w:sz w:val="24"/>
          <w:szCs w:val="24"/>
        </w:rPr>
        <w:t xml:space="preserve">tai pieguļošās apkaimes pleistocēna nogulumu un mūsdienu reljefa virsas saposmojuma veidošanās aizsākās pēdējā </w:t>
      </w:r>
      <w:r w:rsidR="00256E8B" w:rsidRPr="00EC01A7">
        <w:rPr>
          <w:rFonts w:eastAsia="Times New Roman"/>
          <w:sz w:val="24"/>
          <w:szCs w:val="24"/>
        </w:rPr>
        <w:t>Latvij</w:t>
      </w:r>
      <w:r w:rsidRPr="00EC01A7">
        <w:rPr>
          <w:rFonts w:eastAsia="Times New Roman"/>
          <w:sz w:val="24"/>
          <w:szCs w:val="24"/>
        </w:rPr>
        <w:t xml:space="preserve">as ledāja Gulbenes oscilācijas fāzes </w:t>
      </w:r>
      <w:proofErr w:type="spellStart"/>
      <w:r w:rsidRPr="00EC01A7">
        <w:rPr>
          <w:rFonts w:eastAsia="Times New Roman"/>
          <w:sz w:val="24"/>
          <w:szCs w:val="24"/>
        </w:rPr>
        <w:t>deglaciācijas</w:t>
      </w:r>
      <w:proofErr w:type="spellEnd"/>
      <w:r w:rsidRPr="00EC01A7">
        <w:rPr>
          <w:rFonts w:eastAsia="Times New Roman"/>
          <w:sz w:val="24"/>
          <w:szCs w:val="24"/>
        </w:rPr>
        <w:t xml:space="preserve"> posmā.</w:t>
      </w:r>
    </w:p>
    <w:p w:rsidR="00D52BC2" w:rsidRPr="00EC01A7" w:rsidRDefault="00EC01A7" w:rsidP="00895652">
      <w:pPr>
        <w:pStyle w:val="NoSpacing"/>
        <w:jc w:val="both"/>
        <w:rPr>
          <w:sz w:val="24"/>
          <w:szCs w:val="24"/>
        </w:rPr>
      </w:pPr>
      <w:r>
        <w:rPr>
          <w:b/>
          <w:bCs/>
          <w:sz w:val="24"/>
          <w:szCs w:val="24"/>
        </w:rPr>
        <w:t>Uzbūve</w:t>
      </w:r>
    </w:p>
    <w:p w:rsidR="00256E8B" w:rsidRPr="00EC01A7" w:rsidRDefault="00861439" w:rsidP="00895652">
      <w:pPr>
        <w:spacing w:after="0" w:line="236" w:lineRule="auto"/>
        <w:jc w:val="both"/>
        <w:rPr>
          <w:rFonts w:eastAsia="Times New Roman"/>
          <w:sz w:val="24"/>
          <w:szCs w:val="24"/>
        </w:rPr>
      </w:pPr>
      <w:r w:rsidRPr="00EC01A7">
        <w:rPr>
          <w:rFonts w:eastAsia="Times New Roman"/>
          <w:sz w:val="24"/>
          <w:szCs w:val="24"/>
        </w:rPr>
        <w:t xml:space="preserve">Divas vaļņveida reljefa formas, </w:t>
      </w:r>
      <w:proofErr w:type="gramStart"/>
      <w:r w:rsidRPr="00EC01A7">
        <w:rPr>
          <w:rFonts w:eastAsia="Times New Roman"/>
          <w:sz w:val="24"/>
          <w:szCs w:val="24"/>
        </w:rPr>
        <w:t>Joda dambis,</w:t>
      </w:r>
      <w:proofErr w:type="gramEnd"/>
      <w:r w:rsidRPr="00EC01A7">
        <w:rPr>
          <w:rFonts w:eastAsia="Times New Roman"/>
          <w:sz w:val="24"/>
          <w:szCs w:val="24"/>
        </w:rPr>
        <w:t xml:space="preserve"> veido loku, ko nodala Lankas senlejas posms ar upes ieleju. Pēc savas morfoloģijas vaļņi atgādina osus. Loka iekšpusē atrodas senlejas paplašinājums, kurā ir izvietotas tūrisma infrastruktūras būves.</w:t>
      </w:r>
    </w:p>
    <w:p w:rsidR="00861439" w:rsidRPr="00EC01A7" w:rsidRDefault="00861439" w:rsidP="00861439">
      <w:pPr>
        <w:spacing w:after="0" w:line="236" w:lineRule="auto"/>
        <w:jc w:val="both"/>
        <w:rPr>
          <w:rFonts w:eastAsia="Times New Roman"/>
          <w:sz w:val="24"/>
          <w:szCs w:val="24"/>
        </w:rPr>
      </w:pPr>
      <w:r w:rsidRPr="00EC01A7">
        <w:rPr>
          <w:rFonts w:eastAsia="Times New Roman"/>
          <w:sz w:val="24"/>
          <w:szCs w:val="24"/>
        </w:rPr>
        <w:t xml:space="preserve">Lankas senleja, iespējams, ir radusies kā zemledāja kušanas ūdeņu noteces gultne (subglaciālā iegultne) pēdējā Latvijas ledāja </w:t>
      </w:r>
      <w:proofErr w:type="spellStart"/>
      <w:r w:rsidRPr="00EC01A7">
        <w:rPr>
          <w:rFonts w:eastAsia="Times New Roman"/>
          <w:sz w:val="24"/>
          <w:szCs w:val="24"/>
        </w:rPr>
        <w:t>deglaciācijas</w:t>
      </w:r>
      <w:proofErr w:type="spellEnd"/>
      <w:r w:rsidRPr="00EC01A7">
        <w:rPr>
          <w:rFonts w:eastAsia="Times New Roman"/>
          <w:sz w:val="24"/>
          <w:szCs w:val="24"/>
        </w:rPr>
        <w:t xml:space="preserve"> posmā. </w:t>
      </w:r>
    </w:p>
    <w:p w:rsidR="00861439" w:rsidRPr="00EC01A7" w:rsidRDefault="00861439" w:rsidP="00861439">
      <w:pPr>
        <w:spacing w:after="0" w:line="236" w:lineRule="auto"/>
        <w:jc w:val="both"/>
        <w:rPr>
          <w:rFonts w:eastAsia="Times New Roman"/>
          <w:sz w:val="24"/>
          <w:szCs w:val="24"/>
        </w:rPr>
      </w:pPr>
      <w:r w:rsidRPr="00EC01A7">
        <w:rPr>
          <w:rFonts w:eastAsia="Times New Roman"/>
          <w:sz w:val="24"/>
          <w:szCs w:val="24"/>
        </w:rPr>
        <w:t xml:space="preserve">Teritorijās nav sastopami dabiski atsegumi, kas būtiski traucē uzbūves izpēti. </w:t>
      </w:r>
    </w:p>
    <w:p w:rsidR="00861439" w:rsidRPr="00EC01A7" w:rsidRDefault="00861439" w:rsidP="00861439">
      <w:pPr>
        <w:spacing w:after="0" w:line="236" w:lineRule="auto"/>
        <w:jc w:val="both"/>
        <w:rPr>
          <w:rFonts w:eastAsia="Times New Roman"/>
          <w:sz w:val="24"/>
          <w:szCs w:val="24"/>
        </w:rPr>
      </w:pPr>
      <w:r w:rsidRPr="00EC01A7">
        <w:rPr>
          <w:rFonts w:eastAsia="Times New Roman"/>
          <w:sz w:val="24"/>
          <w:szCs w:val="24"/>
        </w:rPr>
        <w:t>Teritorijā būtu nepieciešams veikt ģeoloģisko izpēti, lai konkretizētu reljefa un kvartāra nogulumu veidošanās apstākļus.</w:t>
      </w:r>
    </w:p>
    <w:p w:rsidR="00895652" w:rsidRPr="00EC01A7" w:rsidRDefault="00EC01A7" w:rsidP="00895652">
      <w:pPr>
        <w:pStyle w:val="NoSpacing"/>
        <w:jc w:val="both"/>
        <w:rPr>
          <w:sz w:val="24"/>
          <w:szCs w:val="24"/>
        </w:rPr>
      </w:pPr>
      <w:r>
        <w:rPr>
          <w:b/>
          <w:bCs/>
          <w:sz w:val="24"/>
          <w:szCs w:val="24"/>
        </w:rPr>
        <w:t>Viela</w:t>
      </w:r>
    </w:p>
    <w:p w:rsidR="00895652" w:rsidRPr="00EC01A7" w:rsidRDefault="005449DE" w:rsidP="00895652">
      <w:pPr>
        <w:spacing w:after="0" w:line="236" w:lineRule="auto"/>
        <w:jc w:val="both"/>
        <w:rPr>
          <w:rFonts w:eastAsia="Times New Roman"/>
          <w:sz w:val="24"/>
          <w:szCs w:val="24"/>
        </w:rPr>
      </w:pPr>
      <w:r w:rsidRPr="00EC01A7">
        <w:rPr>
          <w:rFonts w:eastAsia="Times New Roman"/>
          <w:sz w:val="24"/>
          <w:szCs w:val="24"/>
        </w:rPr>
        <w:t>Daudzveidīgi ledāja, ledāja kušanas ūdeņu, upju, gravu un nogāžu (</w:t>
      </w:r>
      <w:proofErr w:type="spellStart"/>
      <w:r w:rsidRPr="00EC01A7">
        <w:rPr>
          <w:rFonts w:eastAsia="Times New Roman"/>
          <w:sz w:val="24"/>
          <w:szCs w:val="24"/>
        </w:rPr>
        <w:t>glacigēnie</w:t>
      </w:r>
      <w:proofErr w:type="spellEnd"/>
      <w:r w:rsidRPr="00EC01A7">
        <w:rPr>
          <w:rFonts w:eastAsia="Times New Roman"/>
          <w:sz w:val="24"/>
          <w:szCs w:val="24"/>
        </w:rPr>
        <w:t xml:space="preserve">, </w:t>
      </w:r>
      <w:proofErr w:type="spellStart"/>
      <w:r w:rsidRPr="00EC01A7">
        <w:rPr>
          <w:rFonts w:eastAsia="Times New Roman"/>
          <w:sz w:val="24"/>
          <w:szCs w:val="24"/>
        </w:rPr>
        <w:t>fluviglaciālie</w:t>
      </w:r>
      <w:proofErr w:type="spellEnd"/>
      <w:r w:rsidRPr="00EC01A7">
        <w:rPr>
          <w:rFonts w:eastAsia="Times New Roman"/>
          <w:sz w:val="24"/>
          <w:szCs w:val="24"/>
        </w:rPr>
        <w:t>, a</w:t>
      </w:r>
      <w:r w:rsidR="00895652" w:rsidRPr="00EC01A7">
        <w:rPr>
          <w:rFonts w:eastAsia="Times New Roman"/>
          <w:sz w:val="24"/>
          <w:szCs w:val="24"/>
        </w:rPr>
        <w:t xml:space="preserve">luviālie, </w:t>
      </w:r>
      <w:proofErr w:type="spellStart"/>
      <w:r w:rsidR="00895652" w:rsidRPr="00EC01A7">
        <w:rPr>
          <w:rFonts w:eastAsia="Times New Roman"/>
          <w:sz w:val="24"/>
          <w:szCs w:val="24"/>
        </w:rPr>
        <w:t>prol</w:t>
      </w:r>
      <w:r w:rsidRPr="00EC01A7">
        <w:rPr>
          <w:rFonts w:eastAsia="Times New Roman"/>
          <w:sz w:val="24"/>
          <w:szCs w:val="24"/>
        </w:rPr>
        <w:t>u</w:t>
      </w:r>
      <w:r w:rsidR="00895652" w:rsidRPr="00EC01A7">
        <w:rPr>
          <w:rFonts w:eastAsia="Times New Roman"/>
          <w:sz w:val="24"/>
          <w:szCs w:val="24"/>
        </w:rPr>
        <w:t>viālie</w:t>
      </w:r>
      <w:proofErr w:type="spellEnd"/>
      <w:r w:rsidR="00895652" w:rsidRPr="00EC01A7">
        <w:rPr>
          <w:rFonts w:eastAsia="Times New Roman"/>
          <w:sz w:val="24"/>
          <w:szCs w:val="24"/>
        </w:rPr>
        <w:t xml:space="preserve">, </w:t>
      </w:r>
      <w:proofErr w:type="spellStart"/>
      <w:r w:rsidR="00895652" w:rsidRPr="00EC01A7">
        <w:rPr>
          <w:rFonts w:eastAsia="Times New Roman"/>
          <w:sz w:val="24"/>
          <w:szCs w:val="24"/>
        </w:rPr>
        <w:t>koluviālie</w:t>
      </w:r>
      <w:proofErr w:type="spellEnd"/>
      <w:r w:rsidRPr="00EC01A7">
        <w:rPr>
          <w:rFonts w:eastAsia="Times New Roman"/>
          <w:sz w:val="24"/>
          <w:szCs w:val="24"/>
        </w:rPr>
        <w:t>)</w:t>
      </w:r>
      <w:r w:rsidR="00895652" w:rsidRPr="00EC01A7">
        <w:rPr>
          <w:rFonts w:eastAsia="Times New Roman"/>
          <w:sz w:val="24"/>
          <w:szCs w:val="24"/>
        </w:rPr>
        <w:t xml:space="preserve"> nogulumi</w:t>
      </w:r>
      <w:r w:rsidRPr="00EC01A7">
        <w:rPr>
          <w:rFonts w:eastAsia="Times New Roman"/>
          <w:sz w:val="24"/>
          <w:szCs w:val="24"/>
        </w:rPr>
        <w:t xml:space="preserve"> – akmeņaina mālsmilts, dažāda </w:t>
      </w:r>
      <w:proofErr w:type="spellStart"/>
      <w:r w:rsidRPr="00EC01A7">
        <w:rPr>
          <w:rFonts w:eastAsia="Times New Roman"/>
          <w:sz w:val="24"/>
          <w:szCs w:val="24"/>
        </w:rPr>
        <w:t>rupjuma</w:t>
      </w:r>
      <w:proofErr w:type="spellEnd"/>
      <w:r w:rsidRPr="00EC01A7">
        <w:rPr>
          <w:rFonts w:eastAsia="Times New Roman"/>
          <w:sz w:val="24"/>
          <w:szCs w:val="24"/>
        </w:rPr>
        <w:t xml:space="preserve"> un </w:t>
      </w:r>
      <w:proofErr w:type="spellStart"/>
      <w:r w:rsidRPr="00EC01A7">
        <w:rPr>
          <w:rFonts w:eastAsia="Times New Roman"/>
          <w:sz w:val="24"/>
          <w:szCs w:val="24"/>
        </w:rPr>
        <w:t>šķirotības</w:t>
      </w:r>
      <w:proofErr w:type="spellEnd"/>
      <w:r w:rsidRPr="00EC01A7">
        <w:rPr>
          <w:rFonts w:eastAsia="Times New Roman"/>
          <w:sz w:val="24"/>
          <w:szCs w:val="24"/>
        </w:rPr>
        <w:t xml:space="preserve"> smilts, smilts grants nogulumi, kā arī mālu un aleirītu sastāva nogulumi.</w:t>
      </w:r>
    </w:p>
    <w:p w:rsidR="00D52BC2" w:rsidRPr="00EC01A7" w:rsidRDefault="00EC01A7" w:rsidP="00895652">
      <w:pPr>
        <w:pStyle w:val="NoSpacing"/>
        <w:jc w:val="both"/>
        <w:rPr>
          <w:sz w:val="24"/>
          <w:szCs w:val="24"/>
        </w:rPr>
      </w:pPr>
      <w:r>
        <w:rPr>
          <w:b/>
          <w:bCs/>
          <w:sz w:val="24"/>
          <w:szCs w:val="24"/>
        </w:rPr>
        <w:t>Procesi</w:t>
      </w:r>
    </w:p>
    <w:p w:rsidR="00895652" w:rsidRPr="00EC01A7" w:rsidRDefault="00895652" w:rsidP="00895652">
      <w:pPr>
        <w:spacing w:after="0" w:line="235" w:lineRule="auto"/>
        <w:jc w:val="both"/>
        <w:rPr>
          <w:rFonts w:eastAsia="Times New Roman"/>
          <w:sz w:val="24"/>
          <w:szCs w:val="24"/>
        </w:rPr>
      </w:pPr>
      <w:r w:rsidRPr="00EC01A7">
        <w:rPr>
          <w:rFonts w:eastAsia="Times New Roman"/>
          <w:sz w:val="24"/>
          <w:szCs w:val="24"/>
        </w:rPr>
        <w:lastRenderedPageBreak/>
        <w:t xml:space="preserve">Mūsdienu ģeoloģiskie procesi galvenokārt izpaužas kā lokāli </w:t>
      </w:r>
      <w:proofErr w:type="spellStart"/>
      <w:r w:rsidRPr="00EC01A7">
        <w:rPr>
          <w:rFonts w:eastAsia="Times New Roman"/>
          <w:sz w:val="24"/>
          <w:szCs w:val="24"/>
        </w:rPr>
        <w:t>nolīdeņi</w:t>
      </w:r>
      <w:proofErr w:type="spellEnd"/>
      <w:r w:rsidRPr="00EC01A7">
        <w:rPr>
          <w:rFonts w:eastAsia="Times New Roman"/>
          <w:sz w:val="24"/>
          <w:szCs w:val="24"/>
        </w:rPr>
        <w:t xml:space="preserve"> un pārpurvošanās bebru darbības rezultātā.</w:t>
      </w:r>
    </w:p>
    <w:p w:rsidR="00D52BC2" w:rsidRPr="00EC01A7" w:rsidRDefault="00EC01A7" w:rsidP="00895652">
      <w:pPr>
        <w:pStyle w:val="NoSpacing"/>
        <w:jc w:val="both"/>
        <w:rPr>
          <w:sz w:val="24"/>
          <w:szCs w:val="24"/>
        </w:rPr>
      </w:pPr>
      <w:r>
        <w:rPr>
          <w:b/>
          <w:bCs/>
          <w:sz w:val="24"/>
          <w:szCs w:val="24"/>
        </w:rPr>
        <w:t>Dabas aizsardzība</w:t>
      </w:r>
    </w:p>
    <w:p w:rsidR="00895652" w:rsidRPr="00EC01A7" w:rsidRDefault="00895652" w:rsidP="00895652">
      <w:pPr>
        <w:spacing w:after="0" w:line="237" w:lineRule="auto"/>
        <w:jc w:val="both"/>
        <w:rPr>
          <w:rFonts w:eastAsia="Times New Roman"/>
          <w:sz w:val="24"/>
          <w:szCs w:val="24"/>
        </w:rPr>
      </w:pPr>
      <w:r w:rsidRPr="00EC01A7">
        <w:rPr>
          <w:rFonts w:eastAsia="Times New Roman"/>
          <w:sz w:val="24"/>
          <w:szCs w:val="24"/>
        </w:rPr>
        <w:t xml:space="preserve">Teritorijā sastopami Eiropas nozīmes aizsargājami biotopi </w:t>
      </w:r>
      <w:r w:rsidR="006507F4" w:rsidRPr="00EC01A7">
        <w:rPr>
          <w:rFonts w:eastAsia="Times New Roman"/>
          <w:sz w:val="24"/>
          <w:szCs w:val="24"/>
        </w:rPr>
        <w:t>- nogāžu un gravu meži (9180), slapjās upju palieņu pļavas (6450), mēreni mitrās pļavas (6510), minerālvielām b</w:t>
      </w:r>
      <w:r w:rsidR="00EC01A7">
        <w:rPr>
          <w:rFonts w:eastAsia="Times New Roman"/>
          <w:sz w:val="24"/>
          <w:szCs w:val="24"/>
        </w:rPr>
        <w:t>agāti avoti un avoksnāji (7160)</w:t>
      </w:r>
      <w:r w:rsidRPr="00EC01A7">
        <w:rPr>
          <w:rFonts w:eastAsia="Times New Roman"/>
          <w:sz w:val="24"/>
          <w:szCs w:val="24"/>
        </w:rPr>
        <w:t>.</w:t>
      </w:r>
    </w:p>
    <w:p w:rsidR="00D52BC2" w:rsidRPr="00EC01A7" w:rsidRDefault="00EC01A7" w:rsidP="00895652">
      <w:pPr>
        <w:pStyle w:val="NoSpacing"/>
        <w:jc w:val="both"/>
        <w:rPr>
          <w:sz w:val="24"/>
          <w:szCs w:val="24"/>
        </w:rPr>
      </w:pPr>
      <w:r>
        <w:rPr>
          <w:b/>
          <w:bCs/>
          <w:sz w:val="24"/>
          <w:szCs w:val="24"/>
        </w:rPr>
        <w:t>Citas vērtības</w:t>
      </w:r>
      <w:r w:rsidR="00D52BC2" w:rsidRPr="00EC01A7">
        <w:rPr>
          <w:b/>
          <w:bCs/>
          <w:sz w:val="24"/>
          <w:szCs w:val="24"/>
        </w:rPr>
        <w:t xml:space="preserve"> </w:t>
      </w:r>
    </w:p>
    <w:p w:rsidR="005449DE" w:rsidRPr="00EC01A7" w:rsidRDefault="00895652" w:rsidP="00895652">
      <w:pPr>
        <w:spacing w:after="0" w:line="235" w:lineRule="auto"/>
        <w:ind w:right="20"/>
        <w:jc w:val="both"/>
        <w:rPr>
          <w:rFonts w:eastAsia="Times New Roman"/>
          <w:sz w:val="24"/>
          <w:szCs w:val="24"/>
        </w:rPr>
      </w:pPr>
      <w:r w:rsidRPr="00EC01A7">
        <w:rPr>
          <w:rFonts w:eastAsia="Times New Roman"/>
          <w:sz w:val="24"/>
          <w:szCs w:val="24"/>
        </w:rPr>
        <w:t>D</w:t>
      </w:r>
      <w:r w:rsidR="005449DE" w:rsidRPr="00EC01A7">
        <w:rPr>
          <w:rFonts w:eastAsia="Times New Roman"/>
          <w:sz w:val="24"/>
          <w:szCs w:val="24"/>
        </w:rPr>
        <w:t>abas pieminekļa</w:t>
      </w:r>
      <w:r w:rsidRPr="00EC01A7">
        <w:rPr>
          <w:rFonts w:eastAsia="Times New Roman"/>
          <w:sz w:val="24"/>
          <w:szCs w:val="24"/>
        </w:rPr>
        <w:t xml:space="preserve"> teritorijā atrodas Embūtes pilskalns</w:t>
      </w:r>
      <w:r w:rsidR="006507F4" w:rsidRPr="00EC01A7">
        <w:rPr>
          <w:rFonts w:eastAsia="Times New Roman"/>
          <w:sz w:val="24"/>
          <w:szCs w:val="24"/>
        </w:rPr>
        <w:t xml:space="preserve">. </w:t>
      </w:r>
      <w:r w:rsidRPr="00EC01A7">
        <w:rPr>
          <w:rFonts w:eastAsia="Times New Roman"/>
          <w:sz w:val="24"/>
          <w:szCs w:val="24"/>
        </w:rPr>
        <w:t>Teritorij</w:t>
      </w:r>
      <w:r w:rsidR="005449DE" w:rsidRPr="00EC01A7">
        <w:rPr>
          <w:rFonts w:eastAsia="Times New Roman"/>
          <w:sz w:val="24"/>
          <w:szCs w:val="24"/>
        </w:rPr>
        <w:t>a ir nozīmīga kā tūrisma vieta.</w:t>
      </w:r>
    </w:p>
    <w:p w:rsidR="00D52BC2" w:rsidRPr="00EC01A7" w:rsidRDefault="00EC01A7" w:rsidP="00895652">
      <w:pPr>
        <w:pStyle w:val="NoSpacing"/>
        <w:jc w:val="both"/>
        <w:rPr>
          <w:sz w:val="24"/>
          <w:szCs w:val="24"/>
        </w:rPr>
      </w:pPr>
      <w:r>
        <w:rPr>
          <w:b/>
          <w:bCs/>
          <w:sz w:val="24"/>
          <w:szCs w:val="24"/>
        </w:rPr>
        <w:t>Stāvoklis</w:t>
      </w:r>
    </w:p>
    <w:p w:rsidR="00895652" w:rsidRPr="00EC01A7" w:rsidRDefault="00895652" w:rsidP="00895652">
      <w:pPr>
        <w:spacing w:after="0" w:line="234" w:lineRule="auto"/>
        <w:jc w:val="both"/>
        <w:rPr>
          <w:rFonts w:eastAsia="Times New Roman"/>
          <w:sz w:val="24"/>
          <w:szCs w:val="24"/>
        </w:rPr>
      </w:pPr>
      <w:r w:rsidRPr="00EC01A7">
        <w:rPr>
          <w:rFonts w:eastAsia="Times New Roman"/>
          <w:sz w:val="24"/>
          <w:szCs w:val="24"/>
        </w:rPr>
        <w:t xml:space="preserve">Kopējais dabas pieminekļa stāvoklis vērtējams kā </w:t>
      </w:r>
      <w:r w:rsidR="006507F4" w:rsidRPr="00EC01A7">
        <w:rPr>
          <w:rFonts w:eastAsia="Times New Roman"/>
          <w:sz w:val="24"/>
          <w:szCs w:val="24"/>
        </w:rPr>
        <w:t>lab</w:t>
      </w:r>
      <w:r w:rsidRPr="00EC01A7">
        <w:rPr>
          <w:rFonts w:eastAsia="Times New Roman"/>
          <w:sz w:val="24"/>
          <w:szCs w:val="24"/>
        </w:rPr>
        <w:t>s.</w:t>
      </w:r>
    </w:p>
    <w:p w:rsidR="00D52BC2" w:rsidRPr="00EC01A7" w:rsidRDefault="00EC01A7" w:rsidP="00895652">
      <w:pPr>
        <w:pStyle w:val="NoSpacing"/>
        <w:jc w:val="both"/>
        <w:rPr>
          <w:sz w:val="24"/>
          <w:szCs w:val="24"/>
        </w:rPr>
      </w:pPr>
      <w:r>
        <w:rPr>
          <w:b/>
          <w:bCs/>
          <w:sz w:val="24"/>
          <w:szCs w:val="24"/>
        </w:rPr>
        <w:t>Bojājumi</w:t>
      </w:r>
    </w:p>
    <w:p w:rsidR="00895652" w:rsidRPr="00EC01A7" w:rsidRDefault="00895652" w:rsidP="00895652">
      <w:pPr>
        <w:spacing w:after="0" w:line="236" w:lineRule="auto"/>
        <w:jc w:val="both"/>
        <w:rPr>
          <w:rFonts w:eastAsia="Times New Roman"/>
          <w:sz w:val="24"/>
          <w:szCs w:val="24"/>
        </w:rPr>
      </w:pPr>
      <w:r w:rsidRPr="00EC01A7">
        <w:rPr>
          <w:rFonts w:eastAsia="Times New Roman"/>
          <w:sz w:val="24"/>
          <w:szCs w:val="24"/>
        </w:rPr>
        <w:t>Nav konstatēti bojājumi.</w:t>
      </w:r>
    </w:p>
    <w:p w:rsidR="00D52BC2" w:rsidRPr="00EC01A7" w:rsidRDefault="00EC01A7" w:rsidP="00895652">
      <w:pPr>
        <w:pStyle w:val="NoSpacing"/>
        <w:jc w:val="both"/>
        <w:rPr>
          <w:sz w:val="24"/>
          <w:szCs w:val="24"/>
        </w:rPr>
      </w:pPr>
      <w:r>
        <w:rPr>
          <w:b/>
          <w:bCs/>
          <w:sz w:val="24"/>
          <w:szCs w:val="24"/>
        </w:rPr>
        <w:t>Apdraudējumi</w:t>
      </w:r>
    </w:p>
    <w:p w:rsidR="00895652" w:rsidRPr="00EC01A7" w:rsidRDefault="00895652" w:rsidP="00895652">
      <w:pPr>
        <w:spacing w:after="0" w:line="236" w:lineRule="auto"/>
        <w:jc w:val="both"/>
        <w:rPr>
          <w:rFonts w:eastAsia="Times New Roman"/>
          <w:sz w:val="24"/>
          <w:szCs w:val="24"/>
        </w:rPr>
      </w:pPr>
      <w:r w:rsidRPr="00EC01A7">
        <w:rPr>
          <w:rFonts w:eastAsia="Times New Roman"/>
          <w:sz w:val="24"/>
          <w:szCs w:val="24"/>
        </w:rPr>
        <w:t>Apdraudējum</w:t>
      </w:r>
      <w:r w:rsidR="006507F4" w:rsidRPr="00EC01A7">
        <w:rPr>
          <w:rFonts w:eastAsia="Times New Roman"/>
          <w:sz w:val="24"/>
          <w:szCs w:val="24"/>
        </w:rPr>
        <w:t>u nav.</w:t>
      </w:r>
    </w:p>
    <w:p w:rsidR="00D52BC2" w:rsidRPr="00EC01A7" w:rsidRDefault="00EC01A7" w:rsidP="00895652">
      <w:pPr>
        <w:pStyle w:val="NoSpacing"/>
        <w:jc w:val="both"/>
        <w:rPr>
          <w:sz w:val="24"/>
          <w:szCs w:val="24"/>
        </w:rPr>
      </w:pPr>
      <w:r>
        <w:rPr>
          <w:b/>
          <w:bCs/>
          <w:sz w:val="24"/>
          <w:szCs w:val="24"/>
        </w:rPr>
        <w:t>Apsaimniekošana</w:t>
      </w:r>
      <w:r w:rsidR="00D52BC2" w:rsidRPr="00EC01A7">
        <w:rPr>
          <w:b/>
          <w:bCs/>
          <w:sz w:val="24"/>
          <w:szCs w:val="24"/>
        </w:rPr>
        <w:t xml:space="preserve"> </w:t>
      </w:r>
    </w:p>
    <w:p w:rsidR="00895652" w:rsidRPr="00EC01A7" w:rsidRDefault="00895652" w:rsidP="00895652">
      <w:pPr>
        <w:spacing w:after="0" w:line="236" w:lineRule="auto"/>
        <w:ind w:right="20"/>
        <w:jc w:val="both"/>
        <w:rPr>
          <w:rFonts w:eastAsia="Times New Roman"/>
          <w:sz w:val="24"/>
          <w:szCs w:val="24"/>
        </w:rPr>
      </w:pPr>
      <w:r w:rsidRPr="00EC01A7">
        <w:rPr>
          <w:rFonts w:eastAsia="Times New Roman"/>
          <w:sz w:val="24"/>
          <w:szCs w:val="24"/>
        </w:rPr>
        <w:t>Par dabas parka “Embūte” faunu un floru ir pieejama salīdzinoši daudz informācija gan ekotūrisma informācijas centrā, gan arī informācijas stendos, diemžēl tajos izpaliek jebkāda ģeoloģiskā un ģeomorfoloģiskā informācija.</w:t>
      </w:r>
      <w:r w:rsidR="005449DE" w:rsidRPr="00EC01A7">
        <w:rPr>
          <w:rFonts w:eastAsia="Times New Roman"/>
          <w:sz w:val="24"/>
          <w:szCs w:val="24"/>
        </w:rPr>
        <w:t xml:space="preserve"> Dabas pieminekļa robežzīmju nav.</w:t>
      </w:r>
    </w:p>
    <w:p w:rsidR="00D52BC2" w:rsidRPr="00EC01A7" w:rsidRDefault="00EC01A7" w:rsidP="00895652">
      <w:pPr>
        <w:pStyle w:val="NoSpacing"/>
        <w:jc w:val="both"/>
        <w:rPr>
          <w:sz w:val="24"/>
          <w:szCs w:val="24"/>
        </w:rPr>
      </w:pPr>
      <w:r>
        <w:rPr>
          <w:b/>
          <w:bCs/>
          <w:sz w:val="24"/>
          <w:szCs w:val="24"/>
        </w:rPr>
        <w:t>Piezīmes</w:t>
      </w:r>
    </w:p>
    <w:p w:rsidR="005449DE" w:rsidRPr="00EC01A7" w:rsidRDefault="005449DE" w:rsidP="005449DE">
      <w:pPr>
        <w:spacing w:after="0" w:line="237" w:lineRule="auto"/>
        <w:jc w:val="both"/>
        <w:rPr>
          <w:rFonts w:eastAsia="Times New Roman"/>
          <w:sz w:val="24"/>
          <w:szCs w:val="24"/>
        </w:rPr>
      </w:pPr>
      <w:r w:rsidRPr="00EC01A7">
        <w:rPr>
          <w:sz w:val="24"/>
          <w:szCs w:val="24"/>
        </w:rPr>
        <w:t xml:space="preserve">Apraksts, novērtējumi un robežu izmaiņu pamatojums balstīti uz līgumdarba pētījuma ietvaros veiktā apsekojuma un literatūras datiem. Apsekoja </w:t>
      </w:r>
      <w:r w:rsidRPr="00EC01A7">
        <w:rPr>
          <w:rFonts w:eastAsia="Times New Roman"/>
          <w:sz w:val="24"/>
          <w:szCs w:val="24"/>
        </w:rPr>
        <w:t xml:space="preserve">Agnis </w:t>
      </w:r>
      <w:proofErr w:type="spellStart"/>
      <w:r w:rsidRPr="00EC01A7">
        <w:rPr>
          <w:rFonts w:eastAsia="Times New Roman"/>
          <w:sz w:val="24"/>
          <w:szCs w:val="24"/>
        </w:rPr>
        <w:t>Rečs</w:t>
      </w:r>
      <w:proofErr w:type="spellEnd"/>
      <w:r w:rsidRPr="00EC01A7">
        <w:rPr>
          <w:rFonts w:eastAsia="Times New Roman"/>
          <w:sz w:val="24"/>
          <w:szCs w:val="24"/>
        </w:rPr>
        <w:t xml:space="preserve"> un Māris Krievāns, 29.09.2015.</w:t>
      </w:r>
      <w:r w:rsidR="00540E73" w:rsidRPr="00EC01A7">
        <w:rPr>
          <w:rFonts w:eastAsia="Times New Roman"/>
          <w:sz w:val="24"/>
          <w:szCs w:val="24"/>
        </w:rPr>
        <w:t>, un Dainis Ozols, 11.02.2017.</w:t>
      </w:r>
    </w:p>
    <w:p w:rsidR="00D52BC2" w:rsidRPr="00EC01A7" w:rsidRDefault="00EC01A7" w:rsidP="00895652">
      <w:pPr>
        <w:pStyle w:val="NoSpacing"/>
        <w:jc w:val="both"/>
        <w:rPr>
          <w:b/>
          <w:bCs/>
          <w:sz w:val="24"/>
          <w:szCs w:val="24"/>
        </w:rPr>
      </w:pPr>
      <w:r>
        <w:rPr>
          <w:b/>
          <w:bCs/>
          <w:sz w:val="24"/>
          <w:szCs w:val="24"/>
        </w:rPr>
        <w:t>Novērtējumi</w:t>
      </w:r>
    </w:p>
    <w:p w:rsidR="00D52BC2" w:rsidRPr="00EC01A7" w:rsidRDefault="00D52BC2" w:rsidP="00895652">
      <w:pPr>
        <w:pStyle w:val="NoSpacing"/>
        <w:jc w:val="both"/>
        <w:rPr>
          <w:sz w:val="24"/>
          <w:szCs w:val="24"/>
        </w:rPr>
      </w:pPr>
      <w:r w:rsidRPr="00EC01A7">
        <w:rPr>
          <w:sz w:val="24"/>
          <w:szCs w:val="24"/>
        </w:rPr>
        <w:t xml:space="preserve">Unikālās vērtības – </w:t>
      </w:r>
      <w:r w:rsidR="004D60D8" w:rsidRPr="00EC01A7">
        <w:rPr>
          <w:sz w:val="24"/>
          <w:szCs w:val="24"/>
        </w:rPr>
        <w:t>4</w:t>
      </w:r>
    </w:p>
    <w:p w:rsidR="00D52BC2" w:rsidRPr="00EC01A7" w:rsidRDefault="00D52BC2" w:rsidP="00895652">
      <w:pPr>
        <w:pStyle w:val="NoSpacing"/>
        <w:jc w:val="both"/>
        <w:rPr>
          <w:sz w:val="24"/>
          <w:szCs w:val="24"/>
        </w:rPr>
      </w:pPr>
      <w:r w:rsidRPr="00EC01A7">
        <w:rPr>
          <w:sz w:val="24"/>
          <w:szCs w:val="24"/>
        </w:rPr>
        <w:t xml:space="preserve">Ainaviskums – </w:t>
      </w:r>
      <w:r w:rsidR="004D60D8" w:rsidRPr="00EC01A7">
        <w:rPr>
          <w:sz w:val="24"/>
          <w:szCs w:val="24"/>
        </w:rPr>
        <w:t>5</w:t>
      </w:r>
    </w:p>
    <w:p w:rsidR="006479E1" w:rsidRDefault="006479E1" w:rsidP="00895652">
      <w:pPr>
        <w:pStyle w:val="NoSpacing"/>
        <w:jc w:val="both"/>
        <w:rPr>
          <w:sz w:val="24"/>
          <w:szCs w:val="24"/>
        </w:rPr>
      </w:pPr>
      <w:r>
        <w:rPr>
          <w:sz w:val="24"/>
          <w:szCs w:val="24"/>
        </w:rPr>
        <w:t>Zinātniskais novērtējums:</w:t>
      </w:r>
    </w:p>
    <w:p w:rsidR="00D52BC2" w:rsidRPr="00EC01A7" w:rsidRDefault="00D52BC2" w:rsidP="006479E1">
      <w:pPr>
        <w:pStyle w:val="NoSpacing"/>
        <w:ind w:firstLine="720"/>
        <w:jc w:val="both"/>
        <w:rPr>
          <w:sz w:val="24"/>
          <w:szCs w:val="24"/>
        </w:rPr>
      </w:pPr>
      <w:proofErr w:type="spellStart"/>
      <w:r w:rsidRPr="00EC01A7">
        <w:rPr>
          <w:sz w:val="24"/>
          <w:szCs w:val="24"/>
        </w:rPr>
        <w:t>Stratigrāfija</w:t>
      </w:r>
      <w:proofErr w:type="spellEnd"/>
      <w:r w:rsidRPr="00EC01A7">
        <w:rPr>
          <w:sz w:val="24"/>
          <w:szCs w:val="24"/>
        </w:rPr>
        <w:t xml:space="preserve"> – </w:t>
      </w:r>
      <w:r w:rsidR="005449DE" w:rsidRPr="00EC01A7">
        <w:rPr>
          <w:sz w:val="24"/>
          <w:szCs w:val="24"/>
        </w:rPr>
        <w:t>2</w:t>
      </w:r>
    </w:p>
    <w:p w:rsidR="00D52BC2" w:rsidRPr="00EC01A7" w:rsidRDefault="00D52BC2" w:rsidP="006479E1">
      <w:pPr>
        <w:pStyle w:val="NoSpacing"/>
        <w:ind w:firstLine="720"/>
        <w:jc w:val="both"/>
        <w:rPr>
          <w:sz w:val="24"/>
          <w:szCs w:val="24"/>
        </w:rPr>
      </w:pPr>
      <w:r w:rsidRPr="00EC01A7">
        <w:rPr>
          <w:sz w:val="24"/>
          <w:szCs w:val="24"/>
        </w:rPr>
        <w:t xml:space="preserve">Uzbūve – </w:t>
      </w:r>
      <w:r w:rsidR="004D60D8" w:rsidRPr="00EC01A7">
        <w:rPr>
          <w:sz w:val="24"/>
          <w:szCs w:val="24"/>
        </w:rPr>
        <w:t>4</w:t>
      </w:r>
    </w:p>
    <w:p w:rsidR="00D52BC2" w:rsidRPr="00EC01A7" w:rsidRDefault="00D52BC2" w:rsidP="006479E1">
      <w:pPr>
        <w:pStyle w:val="NoSpacing"/>
        <w:ind w:firstLine="720"/>
        <w:jc w:val="both"/>
        <w:rPr>
          <w:sz w:val="24"/>
          <w:szCs w:val="24"/>
        </w:rPr>
      </w:pPr>
      <w:r w:rsidRPr="00EC01A7">
        <w:rPr>
          <w:sz w:val="24"/>
          <w:szCs w:val="24"/>
        </w:rPr>
        <w:t xml:space="preserve">Viela – </w:t>
      </w:r>
      <w:r w:rsidR="005449DE" w:rsidRPr="00EC01A7">
        <w:rPr>
          <w:sz w:val="24"/>
          <w:szCs w:val="24"/>
        </w:rPr>
        <w:t>3</w:t>
      </w:r>
    </w:p>
    <w:p w:rsidR="00D52BC2" w:rsidRPr="00EC01A7" w:rsidRDefault="00D52BC2" w:rsidP="006479E1">
      <w:pPr>
        <w:pStyle w:val="NoSpacing"/>
        <w:ind w:firstLine="720"/>
        <w:jc w:val="both"/>
        <w:rPr>
          <w:sz w:val="24"/>
          <w:szCs w:val="24"/>
        </w:rPr>
      </w:pPr>
      <w:r w:rsidRPr="00EC01A7">
        <w:rPr>
          <w:sz w:val="24"/>
          <w:szCs w:val="24"/>
        </w:rPr>
        <w:t xml:space="preserve">Procesi – </w:t>
      </w:r>
      <w:r w:rsidR="005449DE" w:rsidRPr="00EC01A7">
        <w:rPr>
          <w:sz w:val="24"/>
          <w:szCs w:val="24"/>
        </w:rPr>
        <w:t>2</w:t>
      </w:r>
    </w:p>
    <w:p w:rsidR="00D52BC2" w:rsidRPr="00EC01A7" w:rsidRDefault="00D52BC2" w:rsidP="00895652">
      <w:pPr>
        <w:pStyle w:val="NoSpacing"/>
        <w:jc w:val="both"/>
        <w:rPr>
          <w:sz w:val="24"/>
          <w:szCs w:val="24"/>
        </w:rPr>
      </w:pPr>
      <w:r w:rsidRPr="00EC01A7">
        <w:rPr>
          <w:sz w:val="24"/>
          <w:szCs w:val="24"/>
        </w:rPr>
        <w:t xml:space="preserve">Citas vērtības – </w:t>
      </w:r>
      <w:r w:rsidR="005449DE" w:rsidRPr="00EC01A7">
        <w:rPr>
          <w:sz w:val="24"/>
          <w:szCs w:val="24"/>
        </w:rPr>
        <w:t>4</w:t>
      </w:r>
    </w:p>
    <w:p w:rsidR="00D52BC2" w:rsidRPr="00EC01A7" w:rsidRDefault="00D52BC2" w:rsidP="00895652">
      <w:pPr>
        <w:pStyle w:val="NoSpacing"/>
        <w:jc w:val="both"/>
        <w:rPr>
          <w:sz w:val="24"/>
          <w:szCs w:val="24"/>
        </w:rPr>
      </w:pPr>
      <w:r w:rsidRPr="00EC01A7">
        <w:rPr>
          <w:sz w:val="24"/>
          <w:szCs w:val="24"/>
        </w:rPr>
        <w:t xml:space="preserve">Novērtējumu summa - </w:t>
      </w:r>
      <w:r w:rsidR="005449DE" w:rsidRPr="00EC01A7">
        <w:rPr>
          <w:sz w:val="24"/>
          <w:szCs w:val="24"/>
        </w:rPr>
        <w:t>2</w:t>
      </w:r>
      <w:r w:rsidR="004D60D8" w:rsidRPr="00EC01A7">
        <w:rPr>
          <w:sz w:val="24"/>
          <w:szCs w:val="24"/>
        </w:rPr>
        <w:t>4</w:t>
      </w:r>
    </w:p>
    <w:p w:rsidR="00D52BC2" w:rsidRPr="00EC01A7" w:rsidRDefault="00EC01A7" w:rsidP="006479E1">
      <w:pPr>
        <w:pStyle w:val="NoSpacing"/>
        <w:jc w:val="both"/>
      </w:pPr>
      <w:bookmarkStart w:id="0" w:name="_GoBack"/>
      <w:bookmarkEnd w:id="0"/>
      <w:r>
        <w:rPr>
          <w:b/>
          <w:bCs/>
        </w:rPr>
        <w:t>Robežu izmaiņu pamatojums</w:t>
      </w:r>
    </w:p>
    <w:p w:rsidR="00895652" w:rsidRPr="00EC01A7" w:rsidRDefault="004D60D8" w:rsidP="00895652">
      <w:pPr>
        <w:spacing w:after="0" w:line="230" w:lineRule="auto"/>
        <w:ind w:right="20"/>
        <w:jc w:val="both"/>
        <w:rPr>
          <w:rFonts w:eastAsia="Times New Roman"/>
          <w:sz w:val="24"/>
          <w:szCs w:val="24"/>
        </w:rPr>
      </w:pPr>
      <w:r w:rsidRPr="00EC01A7">
        <w:rPr>
          <w:rFonts w:eastAsia="Times New Roman"/>
          <w:sz w:val="24"/>
          <w:szCs w:val="24"/>
        </w:rPr>
        <w:t>Dabas pieminekļa robežas vilktas ietverot kompleksās Lankas senlejas izteiksmīgāko daļu ar savdabīgām vaļņveida reljefa formām. Salīdzinot ar iepriekšējo dabas pieminekļa Embūtes gravas teritoriju dabas pieminekļa platība ir radikāli samazināta, izslēdzot teritorijas, kurās nav sastopami unikāli vai īpaši izteiksmīgi ģeoloģiskie veidojumi.</w:t>
      </w:r>
    </w:p>
    <w:p w:rsidR="00D52BC2" w:rsidRPr="00EC01A7" w:rsidRDefault="00D52BC2" w:rsidP="00895652">
      <w:pPr>
        <w:pStyle w:val="NoSpacing"/>
        <w:jc w:val="both"/>
        <w:rPr>
          <w:sz w:val="24"/>
          <w:szCs w:val="24"/>
        </w:rPr>
      </w:pPr>
      <w:r w:rsidRPr="00EC01A7">
        <w:rPr>
          <w:b/>
          <w:bCs/>
          <w:sz w:val="24"/>
          <w:szCs w:val="24"/>
        </w:rPr>
        <w:t>Ieteikumi a</w:t>
      </w:r>
      <w:r w:rsidR="00EC01A7">
        <w:rPr>
          <w:b/>
          <w:bCs/>
          <w:sz w:val="24"/>
          <w:szCs w:val="24"/>
        </w:rPr>
        <w:t>izsardzībai un apsaimniekošanai</w:t>
      </w:r>
    </w:p>
    <w:p w:rsidR="00F0157C" w:rsidRDefault="004D60D8" w:rsidP="00895652">
      <w:pPr>
        <w:spacing w:after="0" w:line="239" w:lineRule="auto"/>
        <w:ind w:right="20"/>
        <w:jc w:val="both"/>
        <w:rPr>
          <w:rFonts w:eastAsia="Times New Roman"/>
          <w:sz w:val="24"/>
          <w:szCs w:val="24"/>
        </w:rPr>
      </w:pPr>
      <w:r w:rsidRPr="00EC01A7">
        <w:rPr>
          <w:rFonts w:eastAsia="Times New Roman"/>
          <w:sz w:val="24"/>
          <w:szCs w:val="24"/>
        </w:rPr>
        <w:t>Teritoriju nepieciešams saglabāt kvartārģeoloģiskiem un ģeomorfoloģiskiem zinātniskiem pētījumiem. Teritorijā atrodas vērtīga kultūrvēsturiska ainava, nogāžu mežu komplekss, gravas un avoti. Lai raisītu ceļotāju interesi par šīs vietas ģeomorfoloģiskajiem veidojumiem, būtu ieteicams uzstādīt informatīvu stendu ar teritorijas un apkārtnes ģeoloģisko un ģeomorfoloģisko raksturojumu.</w:t>
      </w:r>
    </w:p>
    <w:p w:rsidR="00EC01A7" w:rsidRDefault="00EC01A7" w:rsidP="00895652">
      <w:pPr>
        <w:spacing w:after="0" w:line="239" w:lineRule="auto"/>
        <w:ind w:right="20"/>
        <w:jc w:val="both"/>
        <w:rPr>
          <w:rFonts w:eastAsia="Times New Roman"/>
          <w:sz w:val="24"/>
          <w:szCs w:val="24"/>
        </w:rPr>
      </w:pPr>
    </w:p>
    <w:p w:rsidR="00EC01A7" w:rsidRDefault="00EC01A7" w:rsidP="00EC01A7">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r>
      <w:r>
        <w:rPr>
          <w:rFonts w:ascii="Verdana" w:hAnsi="Verdana"/>
          <w:sz w:val="12"/>
          <w:szCs w:val="12"/>
        </w:rPr>
        <w:lastRenderedPageBreak/>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EC01A7" w:rsidRPr="00EC01A7" w:rsidRDefault="00EC01A7" w:rsidP="00895652">
      <w:pPr>
        <w:spacing w:after="0" w:line="239" w:lineRule="auto"/>
        <w:ind w:right="20"/>
        <w:jc w:val="both"/>
        <w:rPr>
          <w:rFonts w:eastAsia="Times New Roman"/>
          <w:sz w:val="24"/>
          <w:szCs w:val="24"/>
        </w:rPr>
      </w:pPr>
    </w:p>
    <w:p w:rsidR="00D52BC2" w:rsidRPr="00EC01A7" w:rsidRDefault="00D52BC2" w:rsidP="0002328F">
      <w:pPr>
        <w:pStyle w:val="NoSpacing"/>
        <w:rPr>
          <w:b/>
          <w:sz w:val="24"/>
          <w:szCs w:val="24"/>
        </w:rPr>
      </w:pPr>
    </w:p>
    <w:sectPr w:rsidR="00D52BC2" w:rsidRPr="00EC01A7" w:rsidSect="00F30AD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036DE6"/>
    <w:multiLevelType w:val="hybridMultilevel"/>
    <w:tmpl w:val="9AFAFBD2"/>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2"/>
  </w:compat>
  <w:rsids>
    <w:rsidRoot w:val="00FF707F"/>
    <w:rsid w:val="000067B8"/>
    <w:rsid w:val="00012EA6"/>
    <w:rsid w:val="0002328F"/>
    <w:rsid w:val="00034E30"/>
    <w:rsid w:val="00043588"/>
    <w:rsid w:val="00043BFF"/>
    <w:rsid w:val="000513C8"/>
    <w:rsid w:val="000819E9"/>
    <w:rsid w:val="000938CA"/>
    <w:rsid w:val="00094803"/>
    <w:rsid w:val="000C4785"/>
    <w:rsid w:val="000C57AE"/>
    <w:rsid w:val="000D2CD9"/>
    <w:rsid w:val="000E2D9D"/>
    <w:rsid w:val="00101C6A"/>
    <w:rsid w:val="0014237C"/>
    <w:rsid w:val="0014660D"/>
    <w:rsid w:val="00163C3C"/>
    <w:rsid w:val="00170FE2"/>
    <w:rsid w:val="001B28E0"/>
    <w:rsid w:val="00202455"/>
    <w:rsid w:val="0020503D"/>
    <w:rsid w:val="00206BA0"/>
    <w:rsid w:val="00220F76"/>
    <w:rsid w:val="002226FB"/>
    <w:rsid w:val="00225073"/>
    <w:rsid w:val="00235AD6"/>
    <w:rsid w:val="00256E8B"/>
    <w:rsid w:val="00275719"/>
    <w:rsid w:val="002B5EB6"/>
    <w:rsid w:val="002C5F24"/>
    <w:rsid w:val="002C7C07"/>
    <w:rsid w:val="002D38C8"/>
    <w:rsid w:val="002D56A8"/>
    <w:rsid w:val="00311DA2"/>
    <w:rsid w:val="00350BAB"/>
    <w:rsid w:val="00376214"/>
    <w:rsid w:val="00395190"/>
    <w:rsid w:val="003B0303"/>
    <w:rsid w:val="00400369"/>
    <w:rsid w:val="00410813"/>
    <w:rsid w:val="00443D41"/>
    <w:rsid w:val="004901A4"/>
    <w:rsid w:val="004977E2"/>
    <w:rsid w:val="004A727A"/>
    <w:rsid w:val="004C0FF0"/>
    <w:rsid w:val="004C7459"/>
    <w:rsid w:val="004D0947"/>
    <w:rsid w:val="004D60D8"/>
    <w:rsid w:val="00540E73"/>
    <w:rsid w:val="005449DE"/>
    <w:rsid w:val="00545D72"/>
    <w:rsid w:val="00556F19"/>
    <w:rsid w:val="00565D00"/>
    <w:rsid w:val="00571FF1"/>
    <w:rsid w:val="00582675"/>
    <w:rsid w:val="00584C60"/>
    <w:rsid w:val="0059221F"/>
    <w:rsid w:val="005A7495"/>
    <w:rsid w:val="005B3226"/>
    <w:rsid w:val="005D47A4"/>
    <w:rsid w:val="005F2081"/>
    <w:rsid w:val="006479E1"/>
    <w:rsid w:val="006507F4"/>
    <w:rsid w:val="00650881"/>
    <w:rsid w:val="00695609"/>
    <w:rsid w:val="006C0979"/>
    <w:rsid w:val="006C5225"/>
    <w:rsid w:val="006D36D4"/>
    <w:rsid w:val="006D6344"/>
    <w:rsid w:val="006F1432"/>
    <w:rsid w:val="006F391A"/>
    <w:rsid w:val="007026AD"/>
    <w:rsid w:val="007252A5"/>
    <w:rsid w:val="00737937"/>
    <w:rsid w:val="007411EC"/>
    <w:rsid w:val="00744810"/>
    <w:rsid w:val="0076381C"/>
    <w:rsid w:val="007A4563"/>
    <w:rsid w:val="007D157D"/>
    <w:rsid w:val="00861439"/>
    <w:rsid w:val="008768F9"/>
    <w:rsid w:val="00885900"/>
    <w:rsid w:val="00895652"/>
    <w:rsid w:val="008B654B"/>
    <w:rsid w:val="008C7C27"/>
    <w:rsid w:val="008E2D9C"/>
    <w:rsid w:val="008F1193"/>
    <w:rsid w:val="008F52CD"/>
    <w:rsid w:val="00903373"/>
    <w:rsid w:val="00916037"/>
    <w:rsid w:val="00930687"/>
    <w:rsid w:val="009416BB"/>
    <w:rsid w:val="00956BE0"/>
    <w:rsid w:val="00975FBD"/>
    <w:rsid w:val="009A094A"/>
    <w:rsid w:val="009B029B"/>
    <w:rsid w:val="009C6940"/>
    <w:rsid w:val="009D7C26"/>
    <w:rsid w:val="009E76CB"/>
    <w:rsid w:val="00A046C9"/>
    <w:rsid w:val="00A44B2A"/>
    <w:rsid w:val="00A52A9E"/>
    <w:rsid w:val="00A61CA4"/>
    <w:rsid w:val="00A63A3F"/>
    <w:rsid w:val="00A74D50"/>
    <w:rsid w:val="00AB464D"/>
    <w:rsid w:val="00AB7350"/>
    <w:rsid w:val="00AB7B93"/>
    <w:rsid w:val="00AC3159"/>
    <w:rsid w:val="00AC7FDB"/>
    <w:rsid w:val="00AE301C"/>
    <w:rsid w:val="00B00BEB"/>
    <w:rsid w:val="00B06716"/>
    <w:rsid w:val="00B10B33"/>
    <w:rsid w:val="00B2187C"/>
    <w:rsid w:val="00B24BE1"/>
    <w:rsid w:val="00B47FAC"/>
    <w:rsid w:val="00B60262"/>
    <w:rsid w:val="00B749CE"/>
    <w:rsid w:val="00BA4D14"/>
    <w:rsid w:val="00BC0A25"/>
    <w:rsid w:val="00BF31D4"/>
    <w:rsid w:val="00BF3A04"/>
    <w:rsid w:val="00C47A99"/>
    <w:rsid w:val="00C67931"/>
    <w:rsid w:val="00C704E1"/>
    <w:rsid w:val="00C7282A"/>
    <w:rsid w:val="00CA1B3A"/>
    <w:rsid w:val="00D52BC2"/>
    <w:rsid w:val="00D80290"/>
    <w:rsid w:val="00DB523C"/>
    <w:rsid w:val="00DC15C2"/>
    <w:rsid w:val="00DC5315"/>
    <w:rsid w:val="00DF3538"/>
    <w:rsid w:val="00E05062"/>
    <w:rsid w:val="00E05CED"/>
    <w:rsid w:val="00E16EFD"/>
    <w:rsid w:val="00E200C3"/>
    <w:rsid w:val="00E2551E"/>
    <w:rsid w:val="00E54DE7"/>
    <w:rsid w:val="00E631C8"/>
    <w:rsid w:val="00E67478"/>
    <w:rsid w:val="00EB15ED"/>
    <w:rsid w:val="00EB20A0"/>
    <w:rsid w:val="00EC01A7"/>
    <w:rsid w:val="00EC42F8"/>
    <w:rsid w:val="00EC447E"/>
    <w:rsid w:val="00EC461C"/>
    <w:rsid w:val="00ED0AA8"/>
    <w:rsid w:val="00ED2BE3"/>
    <w:rsid w:val="00EF598F"/>
    <w:rsid w:val="00F0157C"/>
    <w:rsid w:val="00F10282"/>
    <w:rsid w:val="00F20C44"/>
    <w:rsid w:val="00F20ECC"/>
    <w:rsid w:val="00F30ADF"/>
    <w:rsid w:val="00F52B4B"/>
    <w:rsid w:val="00F60268"/>
    <w:rsid w:val="00F666EC"/>
    <w:rsid w:val="00F7373E"/>
    <w:rsid w:val="00FC07DD"/>
    <w:rsid w:val="00FC3A40"/>
    <w:rsid w:val="00FD2238"/>
    <w:rsid w:val="00FE47C3"/>
    <w:rsid w:val="00FF27F2"/>
    <w:rsid w:val="00FF707F"/>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0DD7D5-A50B-4884-8638-824338C9C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A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paragraph" w:styleId="NormalWeb">
    <w:name w:val="Normal (Web)"/>
    <w:basedOn w:val="Normal"/>
    <w:rsid w:val="00D52BC2"/>
    <w:pPr>
      <w:spacing w:before="100" w:beforeAutospacing="1" w:after="119"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BF31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192801">
      <w:bodyDiv w:val="1"/>
      <w:marLeft w:val="0"/>
      <w:marRight w:val="0"/>
      <w:marTop w:val="0"/>
      <w:marBottom w:val="0"/>
      <w:divBdr>
        <w:top w:val="none" w:sz="0" w:space="0" w:color="auto"/>
        <w:left w:val="none" w:sz="0" w:space="0" w:color="auto"/>
        <w:bottom w:val="none" w:sz="0" w:space="0" w:color="auto"/>
        <w:right w:val="none" w:sz="0" w:space="0" w:color="auto"/>
      </w:divBdr>
    </w:div>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TotalTime>
  <Pages>3</Pages>
  <Words>4186</Words>
  <Characters>2387</Characters>
  <Application>Microsoft Office Word</Application>
  <DocSecurity>0</DocSecurity>
  <Lines>19</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DAP</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20</cp:revision>
  <dcterms:created xsi:type="dcterms:W3CDTF">2016-07-13T15:12:00Z</dcterms:created>
  <dcterms:modified xsi:type="dcterms:W3CDTF">2017-06-02T07:27:00Z</dcterms:modified>
</cp:coreProperties>
</file>