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F14ABA" w:rsidRDefault="00556F19" w:rsidP="00C7282A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F14ABA">
        <w:rPr>
          <w:rFonts w:cstheme="minorHAnsi"/>
          <w:sz w:val="28"/>
          <w:szCs w:val="28"/>
        </w:rPr>
        <w:t xml:space="preserve">Ģeoloģiskais dabas piemineklis </w:t>
      </w:r>
      <w:proofErr w:type="spellStart"/>
      <w:r w:rsidR="00723B7E" w:rsidRPr="00F14ABA">
        <w:rPr>
          <w:rFonts w:cstheme="minorHAnsi"/>
          <w:b/>
          <w:sz w:val="28"/>
          <w:szCs w:val="28"/>
        </w:rPr>
        <w:t>Ānfabrikas</w:t>
      </w:r>
      <w:proofErr w:type="spellEnd"/>
      <w:r w:rsidR="00723B7E" w:rsidRPr="00F14ABA">
        <w:rPr>
          <w:rFonts w:cstheme="minorHAnsi"/>
          <w:b/>
          <w:sz w:val="28"/>
          <w:szCs w:val="28"/>
        </w:rPr>
        <w:t xml:space="preserve"> klintis</w:t>
      </w:r>
      <w:r w:rsidR="000067B8" w:rsidRPr="00F14ABA">
        <w:rPr>
          <w:rFonts w:cstheme="minorHAnsi"/>
          <w:b/>
          <w:sz w:val="28"/>
          <w:szCs w:val="28"/>
        </w:rPr>
        <w:t xml:space="preserve"> </w:t>
      </w:r>
    </w:p>
    <w:p w:rsidR="00A44B2A" w:rsidRPr="00F14ABA" w:rsidRDefault="00FC07DD" w:rsidP="00C7282A">
      <w:pPr>
        <w:pStyle w:val="NoSpacing"/>
        <w:jc w:val="center"/>
        <w:rPr>
          <w:rFonts w:cstheme="minorHAnsi"/>
          <w:sz w:val="28"/>
          <w:szCs w:val="28"/>
        </w:rPr>
      </w:pPr>
      <w:r w:rsidRPr="00F14ABA">
        <w:rPr>
          <w:rFonts w:cstheme="minorHAnsi"/>
          <w:sz w:val="28"/>
          <w:szCs w:val="28"/>
        </w:rPr>
        <w:t xml:space="preserve">MK 175. noteikumu piel. Nr. </w:t>
      </w:r>
      <w:r w:rsidR="00723B7E" w:rsidRPr="00F14ABA">
        <w:rPr>
          <w:rFonts w:cstheme="minorHAnsi"/>
          <w:sz w:val="28"/>
          <w:szCs w:val="28"/>
        </w:rPr>
        <w:t>46</w:t>
      </w:r>
    </w:p>
    <w:p w:rsidR="00AB7B93" w:rsidRPr="00F14ABA" w:rsidRDefault="00AB7B93" w:rsidP="007A4563">
      <w:pPr>
        <w:pStyle w:val="NoSpacing"/>
        <w:rPr>
          <w:rFonts w:cstheme="minorHAnsi"/>
          <w:b/>
          <w:sz w:val="24"/>
          <w:szCs w:val="24"/>
        </w:rPr>
      </w:pPr>
    </w:p>
    <w:p w:rsidR="007A4563" w:rsidRPr="00F14ABA" w:rsidRDefault="00F14ABA" w:rsidP="007A4563">
      <w:pPr>
        <w:pStyle w:val="NoSpacing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Detalizēts apraksts</w:t>
      </w:r>
    </w:p>
    <w:p w:rsidR="00E95C16" w:rsidRPr="00F14ABA" w:rsidRDefault="00E95C16" w:rsidP="00C7282A">
      <w:pPr>
        <w:pStyle w:val="NoSpacing"/>
        <w:rPr>
          <w:rFonts w:cstheme="minorHAnsi"/>
          <w:b/>
          <w:sz w:val="24"/>
          <w:szCs w:val="24"/>
        </w:rPr>
      </w:pPr>
    </w:p>
    <w:p w:rsidR="002C5F24" w:rsidRPr="00F14ABA" w:rsidRDefault="00F14ABA" w:rsidP="00C7282A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Adrese</w:t>
      </w:r>
    </w:p>
    <w:p w:rsidR="0002328F" w:rsidRPr="00F14ABA" w:rsidRDefault="00723B7E" w:rsidP="00556F19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 xml:space="preserve">Līgatnes novadā, Līgatnes pilsētā, Gaujas nacionālajā parkā, </w:t>
      </w:r>
      <w:proofErr w:type="gramStart"/>
      <w:r w:rsidRPr="00F14ABA">
        <w:rPr>
          <w:rFonts w:cstheme="minorHAnsi"/>
          <w:sz w:val="24"/>
          <w:szCs w:val="24"/>
        </w:rPr>
        <w:t>Natura</w:t>
      </w:r>
      <w:proofErr w:type="gramEnd"/>
      <w:r w:rsidRPr="00F14ABA">
        <w:rPr>
          <w:rFonts w:cstheme="minorHAnsi"/>
          <w:sz w:val="24"/>
          <w:szCs w:val="24"/>
        </w:rPr>
        <w:t xml:space="preserve"> 2000 teritorijā</w:t>
      </w:r>
      <w:r w:rsidR="00170FE2" w:rsidRPr="00F14ABA">
        <w:rPr>
          <w:rFonts w:cstheme="minorHAnsi"/>
          <w:sz w:val="24"/>
          <w:szCs w:val="24"/>
        </w:rPr>
        <w:t>.</w:t>
      </w:r>
    </w:p>
    <w:p w:rsidR="00E95C16" w:rsidRPr="00F14ABA" w:rsidRDefault="00E95C16" w:rsidP="00F14AB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lv-LV"/>
        </w:rPr>
      </w:pPr>
      <w:r w:rsidRPr="00F14ABA">
        <w:rPr>
          <w:rFonts w:eastAsia="Times New Roman" w:cstheme="minorHAnsi"/>
          <w:color w:val="000000"/>
          <w:sz w:val="24"/>
          <w:szCs w:val="24"/>
          <w:lang w:eastAsia="lv-LV"/>
        </w:rPr>
        <w:t>Ģeogrāfiskās koordinātes E25° 2,743' un N57° 13,841', jeb x563130, y343549 LKS92 sistēmā.</w:t>
      </w:r>
    </w:p>
    <w:p w:rsidR="00C7282A" w:rsidRPr="00F14ABA" w:rsidRDefault="00D80290" w:rsidP="00C7282A">
      <w:pPr>
        <w:pStyle w:val="NoSpacing"/>
        <w:rPr>
          <w:rFonts w:cstheme="minorHAnsi"/>
          <w:b/>
          <w:sz w:val="24"/>
          <w:szCs w:val="24"/>
        </w:rPr>
      </w:pPr>
      <w:r w:rsidRPr="00F14ABA">
        <w:rPr>
          <w:rFonts w:cstheme="minorHAnsi"/>
          <w:b/>
          <w:sz w:val="24"/>
          <w:szCs w:val="24"/>
        </w:rPr>
        <w:t>Ģeo</w:t>
      </w:r>
      <w:r w:rsidR="0002328F" w:rsidRPr="00F14ABA">
        <w:rPr>
          <w:rFonts w:cstheme="minorHAnsi"/>
          <w:b/>
          <w:sz w:val="24"/>
          <w:szCs w:val="24"/>
        </w:rPr>
        <w:t>grāfiskais novietojums</w:t>
      </w:r>
    </w:p>
    <w:p w:rsidR="002C5F24" w:rsidRPr="00F14ABA" w:rsidRDefault="00CA3B58" w:rsidP="00C7282A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>Gaujavas zemienē</w:t>
      </w:r>
      <w:r w:rsidR="00723B7E" w:rsidRPr="00F14ABA">
        <w:rPr>
          <w:rFonts w:cstheme="minorHAnsi"/>
          <w:sz w:val="24"/>
          <w:szCs w:val="24"/>
        </w:rPr>
        <w:t>, Līgatnes senlejas nogāzē, upes kreisajā krastā</w:t>
      </w:r>
      <w:r w:rsidR="006C0979" w:rsidRPr="00F14ABA">
        <w:rPr>
          <w:rFonts w:cstheme="minorHAnsi"/>
          <w:sz w:val="24"/>
          <w:szCs w:val="24"/>
        </w:rPr>
        <w:t>.</w:t>
      </w:r>
    </w:p>
    <w:p w:rsidR="0002328F" w:rsidRPr="00F14ABA" w:rsidRDefault="00F14ABA" w:rsidP="0002328F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Ģeoloģiskie veidojumi</w:t>
      </w:r>
    </w:p>
    <w:p w:rsidR="00E95C16" w:rsidRPr="00F14ABA" w:rsidRDefault="001D6AB4" w:rsidP="00E95C16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 xml:space="preserve">Līgatnes ielejas kreisā pamatkrasta nogāze, kurā atsedzas sarkanā smilšakmens atsegumi. Tajos laika gaitā, kopš </w:t>
      </w:r>
      <w:proofErr w:type="gramStart"/>
      <w:r w:rsidRPr="00F14ABA">
        <w:rPr>
          <w:rFonts w:cstheme="minorHAnsi"/>
          <w:sz w:val="24"/>
          <w:szCs w:val="24"/>
        </w:rPr>
        <w:t>19.gadsimta</w:t>
      </w:r>
      <w:proofErr w:type="gramEnd"/>
      <w:r w:rsidRPr="00F14ABA">
        <w:rPr>
          <w:rFonts w:cstheme="minorHAnsi"/>
          <w:sz w:val="24"/>
          <w:szCs w:val="24"/>
        </w:rPr>
        <w:t xml:space="preserve">, izveidoti daudzi mākslīgi pagrabi pārtikas un citu lietu glabāšanai. Mūsdienās </w:t>
      </w:r>
      <w:proofErr w:type="spellStart"/>
      <w:r w:rsidR="00424A3A" w:rsidRPr="00F14ABA">
        <w:rPr>
          <w:rFonts w:cstheme="minorHAnsi"/>
          <w:sz w:val="24"/>
          <w:szCs w:val="24"/>
        </w:rPr>
        <w:t>Ānfab</w:t>
      </w:r>
      <w:r w:rsidRPr="00F14ABA">
        <w:rPr>
          <w:rFonts w:cstheme="minorHAnsi"/>
          <w:sz w:val="24"/>
          <w:szCs w:val="24"/>
        </w:rPr>
        <w:t>rikas</w:t>
      </w:r>
      <w:proofErr w:type="spellEnd"/>
      <w:r w:rsidRPr="00F14ABA">
        <w:rPr>
          <w:rFonts w:cstheme="minorHAnsi"/>
          <w:sz w:val="24"/>
          <w:szCs w:val="24"/>
        </w:rPr>
        <w:t xml:space="preserve"> pagrabi ir pamesti un vairs netiek saimnieciski izmantoti. Tie uzskatāmi par interesantu kultūrvēsturisku objektu.</w:t>
      </w:r>
      <w:r w:rsidR="00E95C16" w:rsidRPr="00F14ABA">
        <w:rPr>
          <w:rFonts w:cstheme="minorHAnsi"/>
          <w:sz w:val="24"/>
          <w:szCs w:val="24"/>
        </w:rPr>
        <w:t xml:space="preserve"> </w:t>
      </w:r>
    </w:p>
    <w:p w:rsidR="00E95C16" w:rsidRPr="00F14ABA" w:rsidRDefault="00E95C16" w:rsidP="00E95C16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>Augstākais klints izcilnis ir līdz 17 m augsts, atsevišķie atsegumi – zemāki. Kopējais atsegumu kompleksa garums ap 80 m, kopā ar Rīgas kalna atsegumu kompleksu, kas arī ietilpst dabas piemineklī.</w:t>
      </w:r>
    </w:p>
    <w:p w:rsidR="001D6AB4" w:rsidRPr="00F14ABA" w:rsidRDefault="00F14ABA" w:rsidP="00F14ABA">
      <w:pPr>
        <w:pStyle w:val="NormalWeb"/>
        <w:spacing w:before="0" w:beforeAutospacing="0" w:after="0"/>
        <w:rPr>
          <w:rFonts w:asciiTheme="minorHAnsi" w:hAnsiTheme="minorHAnsi" w:cstheme="minorHAnsi"/>
          <w:b/>
          <w:bCs/>
          <w:lang w:val="lv-LV"/>
        </w:rPr>
      </w:pPr>
      <w:r>
        <w:rPr>
          <w:rFonts w:asciiTheme="minorHAnsi" w:hAnsiTheme="minorHAnsi" w:cstheme="minorHAnsi"/>
          <w:b/>
          <w:bCs/>
          <w:lang w:val="lv-LV"/>
        </w:rPr>
        <w:t>Izmēri</w:t>
      </w:r>
    </w:p>
    <w:p w:rsidR="00E95C16" w:rsidRPr="00F14ABA" w:rsidRDefault="00E95C16" w:rsidP="00F14ABA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>Dabas pieminekļa platība ir 3,78 ha.</w:t>
      </w:r>
    </w:p>
    <w:p w:rsidR="001D6AB4" w:rsidRPr="00F14ABA" w:rsidRDefault="00F14ABA" w:rsidP="00F14ABA">
      <w:pPr>
        <w:pStyle w:val="NormalWeb"/>
        <w:spacing w:before="0" w:beforeAutospacing="0" w:after="0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b/>
          <w:bCs/>
          <w:lang w:val="lv-LV"/>
        </w:rPr>
        <w:t>Debits</w:t>
      </w:r>
    </w:p>
    <w:p w:rsidR="001D6AB4" w:rsidRPr="00F14ABA" w:rsidRDefault="001D6AB4" w:rsidP="00E95C16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>Nav.</w:t>
      </w:r>
    </w:p>
    <w:p w:rsidR="001D6AB4" w:rsidRPr="00F14ABA" w:rsidRDefault="00F14ABA" w:rsidP="00F14ABA">
      <w:pPr>
        <w:pStyle w:val="NormalWeb"/>
        <w:spacing w:before="0" w:beforeAutospacing="0" w:after="0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b/>
          <w:bCs/>
          <w:lang w:val="lv-LV"/>
        </w:rPr>
        <w:t>Unikālās vērtības</w:t>
      </w:r>
    </w:p>
    <w:p w:rsidR="001D6AB4" w:rsidRPr="00F14ABA" w:rsidRDefault="001D6AB4" w:rsidP="00E95C16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 xml:space="preserve">Kultūrvēsturiskās vērtības: mākslīgi veidotu pagrabu komplekss smilšakmens iežos, atsegumu virsmās daudz senu ierakstu (vecākie no 18. un </w:t>
      </w:r>
      <w:proofErr w:type="gramStart"/>
      <w:r w:rsidRPr="00F14ABA">
        <w:rPr>
          <w:rFonts w:cstheme="minorHAnsi"/>
          <w:sz w:val="24"/>
          <w:szCs w:val="24"/>
        </w:rPr>
        <w:t>19.gadsimta</w:t>
      </w:r>
      <w:proofErr w:type="gramEnd"/>
      <w:r w:rsidRPr="00F14ABA">
        <w:rPr>
          <w:rFonts w:cstheme="minorHAnsi"/>
          <w:sz w:val="24"/>
          <w:szCs w:val="24"/>
        </w:rPr>
        <w:t xml:space="preserve">), kā arī nelielā apjomā, grūti sasniedzamā vietā, 4,5 m no zemes – senie </w:t>
      </w:r>
      <w:proofErr w:type="spellStart"/>
      <w:r w:rsidRPr="00F14ABA">
        <w:rPr>
          <w:rFonts w:cstheme="minorHAnsi"/>
          <w:sz w:val="24"/>
          <w:szCs w:val="24"/>
        </w:rPr>
        <w:t>petroglifi</w:t>
      </w:r>
      <w:proofErr w:type="spellEnd"/>
      <w:r w:rsidRPr="00F14ABA">
        <w:rPr>
          <w:rFonts w:cstheme="minorHAnsi"/>
          <w:sz w:val="24"/>
          <w:szCs w:val="24"/>
        </w:rPr>
        <w:t xml:space="preserve"> (4-5 zīmes; atklāti 1998.gadā, </w:t>
      </w:r>
      <w:proofErr w:type="spellStart"/>
      <w:r w:rsidRPr="00F14ABA">
        <w:rPr>
          <w:rFonts w:cstheme="minorHAnsi"/>
          <w:sz w:val="24"/>
          <w:szCs w:val="24"/>
        </w:rPr>
        <w:t>A.Grīnbergs</w:t>
      </w:r>
      <w:proofErr w:type="spellEnd"/>
      <w:r w:rsidRPr="00F14ABA">
        <w:rPr>
          <w:rFonts w:cstheme="minorHAnsi"/>
          <w:sz w:val="24"/>
          <w:szCs w:val="24"/>
        </w:rPr>
        <w:t>). Vecākie konstatētie gadu skaitļi – 1711, 1788, 1803, 1818, 1835, 1854., 1855., u.c. jaunāki.</w:t>
      </w:r>
    </w:p>
    <w:p w:rsidR="001D6AB4" w:rsidRPr="00F14ABA" w:rsidRDefault="00F14ABA" w:rsidP="00F14ABA">
      <w:pPr>
        <w:pStyle w:val="NormalWeb"/>
        <w:spacing w:before="0" w:beforeAutospacing="0" w:after="0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b/>
          <w:bCs/>
          <w:lang w:val="lv-LV"/>
        </w:rPr>
        <w:t>Ainaviskuma raksturojums</w:t>
      </w:r>
      <w:r w:rsidR="001D6AB4" w:rsidRPr="00F14ABA">
        <w:rPr>
          <w:rFonts w:asciiTheme="minorHAnsi" w:hAnsiTheme="minorHAnsi" w:cstheme="minorHAnsi"/>
          <w:b/>
          <w:bCs/>
          <w:lang w:val="lv-LV"/>
        </w:rPr>
        <w:t xml:space="preserve"> </w:t>
      </w:r>
    </w:p>
    <w:p w:rsidR="00F14ABA" w:rsidRDefault="001D6AB4" w:rsidP="00F14ABA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>Skaisti un harmoniski dabas un cilvēka veidojumi.</w:t>
      </w:r>
    </w:p>
    <w:p w:rsidR="001D6AB4" w:rsidRPr="00F14ABA" w:rsidRDefault="00F14ABA" w:rsidP="00F14ABA">
      <w:pPr>
        <w:pStyle w:val="NoSpacing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Stratigrāfija</w:t>
      </w:r>
      <w:proofErr w:type="spellEnd"/>
    </w:p>
    <w:p w:rsidR="00F14ABA" w:rsidRDefault="001D6AB4" w:rsidP="00F14ABA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>Vidusdevona Živetas stāva Gaujas svītas smilšakmeņu atsegumi.</w:t>
      </w:r>
    </w:p>
    <w:p w:rsidR="001D6AB4" w:rsidRPr="00F14ABA" w:rsidRDefault="00F14ABA" w:rsidP="00F14AB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Uzbūve</w:t>
      </w:r>
    </w:p>
    <w:p w:rsidR="00F14ABA" w:rsidRDefault="001D6AB4" w:rsidP="00F14ABA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 xml:space="preserve">Slīpslāņots un </w:t>
      </w:r>
      <w:r w:rsidR="00F14ABA">
        <w:rPr>
          <w:rFonts w:cstheme="minorHAnsi"/>
          <w:sz w:val="24"/>
          <w:szCs w:val="24"/>
        </w:rPr>
        <w:t>horizontāli slāņots smilšakmens</w:t>
      </w:r>
    </w:p>
    <w:p w:rsidR="001D6AB4" w:rsidRPr="00F14ABA" w:rsidRDefault="00F14ABA" w:rsidP="00F14AB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Viela</w:t>
      </w:r>
    </w:p>
    <w:p w:rsidR="00F14ABA" w:rsidRDefault="001D6AB4" w:rsidP="00F14ABA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 xml:space="preserve">Sarkans smilšakmens. </w:t>
      </w:r>
    </w:p>
    <w:p w:rsidR="001D6AB4" w:rsidRPr="00F14ABA" w:rsidRDefault="00F14ABA" w:rsidP="00F14AB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Procesi</w:t>
      </w:r>
    </w:p>
    <w:p w:rsidR="00F14ABA" w:rsidRDefault="001D6AB4" w:rsidP="00F14ABA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>Aktīvu ģeoloģisko procesu norise nav novērojama. Atsegumu kompleksa lejas daļā – neliels mālu noslīdenis pa nogāzi tās lejasdaļā.</w:t>
      </w:r>
    </w:p>
    <w:p w:rsidR="001D6AB4" w:rsidRPr="00F14ABA" w:rsidRDefault="00F14ABA" w:rsidP="00F14AB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Dabas aizsardzība</w:t>
      </w:r>
    </w:p>
    <w:p w:rsidR="00F14ABA" w:rsidRDefault="001D6AB4" w:rsidP="00F14ABA">
      <w:pPr>
        <w:pStyle w:val="NoSpacing"/>
        <w:rPr>
          <w:rFonts w:cstheme="minorHAnsi"/>
          <w:i/>
          <w:sz w:val="24"/>
          <w:szCs w:val="24"/>
        </w:rPr>
      </w:pPr>
      <w:r w:rsidRPr="00F14ABA">
        <w:rPr>
          <w:rFonts w:cstheme="minorHAnsi"/>
          <w:sz w:val="24"/>
          <w:szCs w:val="24"/>
        </w:rPr>
        <w:t>Teritorijā atrodas ES aizsargājams biotops – smilšakmens atsegumi (8220)</w:t>
      </w:r>
      <w:r w:rsidRPr="00F14ABA">
        <w:rPr>
          <w:rFonts w:cstheme="minorHAnsi"/>
          <w:i/>
          <w:sz w:val="24"/>
          <w:szCs w:val="24"/>
        </w:rPr>
        <w:t>.</w:t>
      </w:r>
    </w:p>
    <w:p w:rsidR="001D6AB4" w:rsidRPr="00F14ABA" w:rsidRDefault="00F14ABA" w:rsidP="00F14ABA">
      <w:pPr>
        <w:pStyle w:val="NoSpacing"/>
        <w:rPr>
          <w:rFonts w:cstheme="minorHAnsi"/>
          <w:i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Citas vērtības</w:t>
      </w:r>
    </w:p>
    <w:p w:rsidR="001D6AB4" w:rsidRPr="00F14ABA" w:rsidRDefault="001D6AB4" w:rsidP="00E95C16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 xml:space="preserve">Vairāki seni un pat unikāli iegravējumi smilšakmens atsegumu virsmā – </w:t>
      </w:r>
      <w:proofErr w:type="spellStart"/>
      <w:r w:rsidRPr="00F14ABA">
        <w:rPr>
          <w:rFonts w:cstheme="minorHAnsi"/>
          <w:sz w:val="24"/>
          <w:szCs w:val="24"/>
        </w:rPr>
        <w:t>petroglifi</w:t>
      </w:r>
      <w:proofErr w:type="spellEnd"/>
      <w:r w:rsidRPr="00F14ABA">
        <w:rPr>
          <w:rFonts w:cstheme="minorHAnsi"/>
          <w:sz w:val="24"/>
          <w:szCs w:val="24"/>
        </w:rPr>
        <w:t xml:space="preserve"> un seni ar gadu skaitļiem datēti ieraksti.</w:t>
      </w:r>
    </w:p>
    <w:p w:rsidR="00F14ABA" w:rsidRDefault="001D6AB4" w:rsidP="00F14ABA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>Kultūrvēsturiski nozīmīgs mākslīgi smilšakmens iezī veidotu pagrabu komplekss.</w:t>
      </w:r>
    </w:p>
    <w:p w:rsidR="001D6AB4" w:rsidRPr="00F14ABA" w:rsidRDefault="00F14ABA" w:rsidP="00F14AB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Stāvoklis</w:t>
      </w:r>
    </w:p>
    <w:p w:rsidR="00F14ABA" w:rsidRDefault="001D6AB4" w:rsidP="00F14ABA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>Stāvoklis vērtējams kā labs.</w:t>
      </w:r>
    </w:p>
    <w:p w:rsidR="00F14ABA" w:rsidRPr="00F14ABA" w:rsidRDefault="00F14ABA" w:rsidP="00F14ABA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Bojājumi</w:t>
      </w:r>
    </w:p>
    <w:p w:rsidR="00F14ABA" w:rsidRDefault="001D6AB4" w:rsidP="00F14ABA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 xml:space="preserve">Redzams, ka apmeklētāji regulāri klints sienā ieskrāpē ierakstus. </w:t>
      </w:r>
    </w:p>
    <w:p w:rsidR="001D6AB4" w:rsidRPr="00F14ABA" w:rsidRDefault="00F14ABA" w:rsidP="00F14AB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Apdraudējumi</w:t>
      </w:r>
    </w:p>
    <w:p w:rsidR="00F14ABA" w:rsidRDefault="001D6AB4" w:rsidP="00F14ABA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>Nav.</w:t>
      </w:r>
    </w:p>
    <w:p w:rsidR="001D6AB4" w:rsidRPr="00F14ABA" w:rsidRDefault="00F14ABA" w:rsidP="00F14AB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Apsaimniekošana</w:t>
      </w:r>
    </w:p>
    <w:p w:rsidR="00F14ABA" w:rsidRDefault="001D6AB4" w:rsidP="00F14ABA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 xml:space="preserve">Teritorijā nav nekādas informācijas par dabas vērtībām. Ir labiekārtotas tūristu takas un kāpnes, kā arī skatu platforma virs klints augstākā izciļņa. Ar tūrisma infrastruktūru apsekojuma laikā viss bija kārtībā. </w:t>
      </w:r>
    </w:p>
    <w:p w:rsidR="001D6AB4" w:rsidRPr="00F14ABA" w:rsidRDefault="00F14ABA" w:rsidP="00F14AB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Piezīmes</w:t>
      </w:r>
    </w:p>
    <w:p w:rsidR="001D6AB4" w:rsidRPr="00F14ABA" w:rsidRDefault="001D6AB4" w:rsidP="00E95C16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 xml:space="preserve">Plašāka papildus informācija </w:t>
      </w:r>
      <w:proofErr w:type="gramStart"/>
      <w:r w:rsidRPr="00F14ABA">
        <w:rPr>
          <w:rFonts w:cstheme="minorHAnsi"/>
          <w:sz w:val="24"/>
          <w:szCs w:val="24"/>
        </w:rPr>
        <w:t xml:space="preserve">no </w:t>
      </w:r>
      <w:proofErr w:type="spellStart"/>
      <w:r w:rsidRPr="00F14ABA">
        <w:rPr>
          <w:rFonts w:cstheme="minorHAnsi"/>
          <w:sz w:val="24"/>
          <w:szCs w:val="24"/>
        </w:rPr>
        <w:t>Visit</w:t>
      </w:r>
      <w:proofErr w:type="spellEnd"/>
      <w:r w:rsidRPr="00F14ABA">
        <w:rPr>
          <w:rFonts w:cstheme="minorHAnsi"/>
          <w:sz w:val="24"/>
          <w:szCs w:val="24"/>
        </w:rPr>
        <w:t xml:space="preserve"> Līgatne</w:t>
      </w:r>
      <w:proofErr w:type="gramEnd"/>
      <w:r w:rsidRPr="00F14ABA">
        <w:rPr>
          <w:rFonts w:cstheme="minorHAnsi"/>
          <w:sz w:val="24"/>
          <w:szCs w:val="24"/>
        </w:rPr>
        <w:t xml:space="preserve"> - http://www.visitligatne.lv/</w:t>
      </w:r>
      <w:r w:rsidR="00424A3A" w:rsidRPr="00F14ABA">
        <w:rPr>
          <w:rFonts w:cstheme="minorHAnsi"/>
          <w:sz w:val="24"/>
          <w:szCs w:val="24"/>
        </w:rPr>
        <w:t>Ānfab</w:t>
      </w:r>
      <w:r w:rsidRPr="00F14ABA">
        <w:rPr>
          <w:rFonts w:cstheme="minorHAnsi"/>
          <w:sz w:val="24"/>
          <w:szCs w:val="24"/>
        </w:rPr>
        <w:t>rikas-klintis-un-pagrabi:</w:t>
      </w:r>
    </w:p>
    <w:p w:rsidR="001D6AB4" w:rsidRPr="00F14ABA" w:rsidRDefault="001D6AB4" w:rsidP="00E95C16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 xml:space="preserve">„Pie </w:t>
      </w:r>
      <w:proofErr w:type="spellStart"/>
      <w:r w:rsidR="00424A3A" w:rsidRPr="00F14ABA">
        <w:rPr>
          <w:rFonts w:cstheme="minorHAnsi"/>
          <w:sz w:val="24"/>
          <w:szCs w:val="24"/>
        </w:rPr>
        <w:t>Ānfab</w:t>
      </w:r>
      <w:r w:rsidRPr="00F14ABA">
        <w:rPr>
          <w:rFonts w:cstheme="minorHAnsi"/>
          <w:sz w:val="24"/>
          <w:szCs w:val="24"/>
        </w:rPr>
        <w:t>rikas</w:t>
      </w:r>
      <w:proofErr w:type="spellEnd"/>
      <w:r w:rsidRPr="00F14ABA">
        <w:rPr>
          <w:rFonts w:cstheme="minorHAnsi"/>
          <w:sz w:val="24"/>
          <w:szCs w:val="24"/>
        </w:rPr>
        <w:t xml:space="preserve"> klintīm slūžas Līgatnes upi „sadala” divās atsevišķās upēs - vienā, </w:t>
      </w:r>
      <w:proofErr w:type="gramStart"/>
      <w:r w:rsidRPr="00F14ABA">
        <w:rPr>
          <w:rFonts w:cstheme="minorHAnsi"/>
          <w:sz w:val="24"/>
          <w:szCs w:val="24"/>
        </w:rPr>
        <w:t>kuras uzdevums plūst uz Gauju</w:t>
      </w:r>
      <w:proofErr w:type="gramEnd"/>
      <w:r w:rsidRPr="00F14ABA">
        <w:rPr>
          <w:rFonts w:cstheme="minorHAnsi"/>
          <w:sz w:val="24"/>
          <w:szCs w:val="24"/>
        </w:rPr>
        <w:t xml:space="preserve"> un nodrošināt izcilas lašu un taimiņu nārsta vietas, un otrā, kuras uzdevums apgādāt Līgatnes papīrfabriku ar ļoti svarīgu papīra ražošanas izejvielu - ūdeni. Tieši Līgatnes upes dzidrais ūdens, straujais tecējums un Līgatnes dabas reljefs, 1814. gadā pamudināja Rīgas uzņēmējus Konrādu Justu </w:t>
      </w:r>
      <w:proofErr w:type="spellStart"/>
      <w:r w:rsidRPr="00F14ABA">
        <w:rPr>
          <w:rFonts w:cstheme="minorHAnsi"/>
          <w:sz w:val="24"/>
          <w:szCs w:val="24"/>
        </w:rPr>
        <w:t>Štrohu</w:t>
      </w:r>
      <w:proofErr w:type="spellEnd"/>
      <w:r w:rsidRPr="00F14ABA">
        <w:rPr>
          <w:rFonts w:cstheme="minorHAnsi"/>
          <w:sz w:val="24"/>
          <w:szCs w:val="24"/>
        </w:rPr>
        <w:t xml:space="preserve"> un Kārli </w:t>
      </w:r>
      <w:proofErr w:type="spellStart"/>
      <w:r w:rsidRPr="00F14ABA">
        <w:rPr>
          <w:rFonts w:cstheme="minorHAnsi"/>
          <w:sz w:val="24"/>
          <w:szCs w:val="24"/>
        </w:rPr>
        <w:t>Kiberu</w:t>
      </w:r>
      <w:proofErr w:type="spellEnd"/>
      <w:r w:rsidRPr="00F14ABA">
        <w:rPr>
          <w:rFonts w:cstheme="minorHAnsi"/>
          <w:sz w:val="24"/>
          <w:szCs w:val="24"/>
        </w:rPr>
        <w:t xml:space="preserve"> slēgt līgumus par </w:t>
      </w:r>
      <w:proofErr w:type="spellStart"/>
      <w:r w:rsidRPr="00F14ABA">
        <w:rPr>
          <w:rFonts w:cstheme="minorHAnsi"/>
          <w:sz w:val="24"/>
          <w:szCs w:val="24"/>
        </w:rPr>
        <w:t>Paltmales</w:t>
      </w:r>
      <w:proofErr w:type="spellEnd"/>
      <w:r w:rsidRPr="00F14ABA">
        <w:rPr>
          <w:rFonts w:cstheme="minorHAnsi"/>
          <w:sz w:val="24"/>
          <w:szCs w:val="24"/>
        </w:rPr>
        <w:t xml:space="preserve"> muižas dzirnavu un apkārtējo zemju rentēšanu, papīra manufaktūras būvniecības uzsākšanai.</w:t>
      </w:r>
    </w:p>
    <w:p w:rsidR="001D6AB4" w:rsidRPr="00F14ABA" w:rsidRDefault="001D6AB4" w:rsidP="00E95C16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 xml:space="preserve">Teritorijā pie </w:t>
      </w:r>
      <w:proofErr w:type="spellStart"/>
      <w:r w:rsidR="00424A3A" w:rsidRPr="00F14ABA">
        <w:rPr>
          <w:rFonts w:cstheme="minorHAnsi"/>
          <w:sz w:val="24"/>
          <w:szCs w:val="24"/>
        </w:rPr>
        <w:t>Ānfab</w:t>
      </w:r>
      <w:r w:rsidRPr="00F14ABA">
        <w:rPr>
          <w:rFonts w:cstheme="minorHAnsi"/>
          <w:sz w:val="24"/>
          <w:szCs w:val="24"/>
        </w:rPr>
        <w:t>rikas</w:t>
      </w:r>
      <w:proofErr w:type="spellEnd"/>
      <w:r w:rsidRPr="00F14ABA">
        <w:rPr>
          <w:rFonts w:cstheme="minorHAnsi"/>
          <w:sz w:val="24"/>
          <w:szCs w:val="24"/>
        </w:rPr>
        <w:t xml:space="preserve"> klintīm papildus stāstam par klintīm, alām un pagrabiem iespējams iepazīt 19. gadsimta inženiertehniskos sasniegumus. Šeit atrodami akvedukta balsti, kas vēl pirms nepilniem divsimts gadiem kalpoja, lai no </w:t>
      </w:r>
      <w:r w:rsidRPr="00F14ABA">
        <w:rPr>
          <w:rFonts w:cstheme="minorHAnsi"/>
          <w:i/>
          <w:iCs/>
          <w:sz w:val="24"/>
          <w:szCs w:val="24"/>
        </w:rPr>
        <w:t>vecajām slūžām</w:t>
      </w:r>
      <w:r w:rsidRPr="00F14ABA">
        <w:rPr>
          <w:rFonts w:cstheme="minorHAnsi"/>
          <w:sz w:val="24"/>
          <w:szCs w:val="24"/>
        </w:rPr>
        <w:t xml:space="preserve"> piegādātu ūdeni </w:t>
      </w:r>
      <w:proofErr w:type="spellStart"/>
      <w:r w:rsidR="00424A3A" w:rsidRPr="00F14ABA">
        <w:rPr>
          <w:rFonts w:cstheme="minorHAnsi"/>
          <w:sz w:val="24"/>
          <w:szCs w:val="24"/>
        </w:rPr>
        <w:t>Ānfab</w:t>
      </w:r>
      <w:r w:rsidRPr="00F14ABA">
        <w:rPr>
          <w:rFonts w:cstheme="minorHAnsi"/>
          <w:sz w:val="24"/>
          <w:szCs w:val="24"/>
        </w:rPr>
        <w:t>rikas</w:t>
      </w:r>
      <w:proofErr w:type="spellEnd"/>
      <w:r w:rsidRPr="00F14ABA">
        <w:rPr>
          <w:rFonts w:cstheme="minorHAnsi"/>
          <w:sz w:val="24"/>
          <w:szCs w:val="24"/>
        </w:rPr>
        <w:t xml:space="preserve"> </w:t>
      </w:r>
      <w:r w:rsidRPr="00F14ABA">
        <w:rPr>
          <w:rFonts w:cstheme="minorHAnsi"/>
          <w:i/>
          <w:iCs/>
          <w:sz w:val="24"/>
          <w:szCs w:val="24"/>
        </w:rPr>
        <w:t>(</w:t>
      </w:r>
      <w:proofErr w:type="spellStart"/>
      <w:r w:rsidRPr="00F14ABA">
        <w:rPr>
          <w:rFonts w:cstheme="minorHAnsi"/>
          <w:i/>
          <w:iCs/>
          <w:sz w:val="24"/>
          <w:szCs w:val="24"/>
        </w:rPr>
        <w:t>Handfabrik</w:t>
      </w:r>
      <w:proofErr w:type="spellEnd"/>
      <w:r w:rsidRPr="00F14ABA">
        <w:rPr>
          <w:rFonts w:cstheme="minorHAnsi"/>
          <w:i/>
          <w:iCs/>
          <w:sz w:val="24"/>
          <w:szCs w:val="24"/>
        </w:rPr>
        <w:t>)</w:t>
      </w:r>
      <w:r w:rsidRPr="00F14ABA">
        <w:rPr>
          <w:rFonts w:cstheme="minorHAnsi"/>
          <w:sz w:val="24"/>
          <w:szCs w:val="24"/>
        </w:rPr>
        <w:t xml:space="preserve"> vajadzībām. Šeit aplūkojama slūžu un kanālu sistēma, kas līdz mūsdienām kalpo, lai nodrošinātu papīrfabriku ar nepieciešamo ūdens resursu papīra ražošanai. </w:t>
      </w:r>
    </w:p>
    <w:p w:rsidR="001D6AB4" w:rsidRPr="00F14ABA" w:rsidRDefault="001D6AB4" w:rsidP="00E95C16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bCs/>
          <w:sz w:val="24"/>
          <w:szCs w:val="24"/>
        </w:rPr>
        <w:t>Līgatnes vēstures pētnieks Aivars Balodis raksta:</w:t>
      </w:r>
      <w:r w:rsidRPr="00F14ABA">
        <w:rPr>
          <w:rFonts w:cstheme="minorHAnsi"/>
          <w:b/>
          <w:bCs/>
          <w:sz w:val="24"/>
          <w:szCs w:val="24"/>
        </w:rPr>
        <w:t xml:space="preserve"> </w:t>
      </w:r>
      <w:r w:rsidRPr="00F14ABA">
        <w:rPr>
          <w:rFonts w:cstheme="minorHAnsi"/>
          <w:sz w:val="24"/>
          <w:szCs w:val="24"/>
        </w:rPr>
        <w:t>Pirmie pagrabi šajā smilšakmens iezī izcirsti pēc 1815. gada vienlaicīgi ar papīra dzirnavu celtniecību. Izmantoti gan kā noliktavas</w:t>
      </w:r>
      <w:r w:rsidRPr="00F14ABA">
        <w:rPr>
          <w:rFonts w:cstheme="minorHAnsi"/>
          <w:b/>
          <w:bCs/>
          <w:sz w:val="24"/>
          <w:szCs w:val="24"/>
        </w:rPr>
        <w:t>,</w:t>
      </w:r>
      <w:r w:rsidRPr="00F14ABA">
        <w:rPr>
          <w:rFonts w:cstheme="minorHAnsi"/>
          <w:sz w:val="24"/>
          <w:szCs w:val="24"/>
        </w:rPr>
        <w:t xml:space="preserve"> gan kā pagrabi. Piekļūšanai pagrabiem bijušas izbūvētas estakādes un pāri upei tiltiņš. Pagrabi šajā iezī atkarībā no situācijas dabā, tāpat kā </w:t>
      </w:r>
      <w:proofErr w:type="spellStart"/>
      <w:r w:rsidRPr="00F14ABA">
        <w:rPr>
          <w:rFonts w:cstheme="minorHAnsi"/>
          <w:sz w:val="24"/>
          <w:szCs w:val="24"/>
        </w:rPr>
        <w:t>Lustūža</w:t>
      </w:r>
      <w:proofErr w:type="spellEnd"/>
      <w:r w:rsidRPr="00F14ABA">
        <w:rPr>
          <w:rFonts w:cstheme="minorHAnsi"/>
          <w:sz w:val="24"/>
          <w:szCs w:val="24"/>
        </w:rPr>
        <w:t xml:space="preserve"> un Līgatnes upes lejteces pagrabi, izcirsti dažādos līmeņos. Pēdējie pagrabi šajā iezī izcirsti pēc 1871. gada, kad </w:t>
      </w:r>
      <w:proofErr w:type="spellStart"/>
      <w:r w:rsidR="00424A3A" w:rsidRPr="00F14ABA">
        <w:rPr>
          <w:rFonts w:cstheme="minorHAnsi"/>
          <w:sz w:val="24"/>
          <w:szCs w:val="24"/>
        </w:rPr>
        <w:t>Ānfab</w:t>
      </w:r>
      <w:r w:rsidRPr="00F14ABA">
        <w:rPr>
          <w:rFonts w:cstheme="minorHAnsi"/>
          <w:sz w:val="24"/>
          <w:szCs w:val="24"/>
        </w:rPr>
        <w:t>rikas</w:t>
      </w:r>
      <w:proofErr w:type="spellEnd"/>
      <w:r w:rsidRPr="00F14ABA">
        <w:rPr>
          <w:rFonts w:cstheme="minorHAnsi"/>
          <w:sz w:val="24"/>
          <w:szCs w:val="24"/>
        </w:rPr>
        <w:t xml:space="preserve"> piebūves otrā stāvā </w:t>
      </w:r>
      <w:proofErr w:type="spellStart"/>
      <w:r w:rsidRPr="00F14ABA">
        <w:rPr>
          <w:rFonts w:cstheme="minorHAnsi"/>
          <w:sz w:val="24"/>
          <w:szCs w:val="24"/>
        </w:rPr>
        <w:t>papīrzāles</w:t>
      </w:r>
      <w:proofErr w:type="spellEnd"/>
      <w:r w:rsidRPr="00F14ABA">
        <w:rPr>
          <w:rFonts w:cstheme="minorHAnsi"/>
          <w:sz w:val="24"/>
          <w:szCs w:val="24"/>
        </w:rPr>
        <w:t xml:space="preserve"> vietā izbūvēja dzīvokļus un 1873. gadā uz turieni no </w:t>
      </w:r>
      <w:proofErr w:type="spellStart"/>
      <w:r w:rsidRPr="00F14ABA">
        <w:rPr>
          <w:rFonts w:cstheme="minorHAnsi"/>
          <w:sz w:val="24"/>
          <w:szCs w:val="24"/>
        </w:rPr>
        <w:t>Kiberkalna</w:t>
      </w:r>
      <w:proofErr w:type="spellEnd"/>
      <w:r w:rsidRPr="00F14ABA">
        <w:rPr>
          <w:rFonts w:cstheme="minorHAnsi"/>
          <w:sz w:val="24"/>
          <w:szCs w:val="24"/>
        </w:rPr>
        <w:t xml:space="preserve">  pārcēla arī skolu. </w:t>
      </w:r>
      <w:proofErr w:type="spellStart"/>
      <w:r w:rsidR="00424A3A" w:rsidRPr="00F14ABA">
        <w:rPr>
          <w:rFonts w:cstheme="minorHAnsi"/>
          <w:sz w:val="24"/>
          <w:szCs w:val="24"/>
        </w:rPr>
        <w:t>Ānfab</w:t>
      </w:r>
      <w:r w:rsidRPr="00F14ABA">
        <w:rPr>
          <w:rFonts w:cstheme="minorHAnsi"/>
          <w:sz w:val="24"/>
          <w:szCs w:val="24"/>
        </w:rPr>
        <w:t>rikas</w:t>
      </w:r>
      <w:proofErr w:type="spellEnd"/>
      <w:r w:rsidRPr="00F14ABA">
        <w:rPr>
          <w:rFonts w:cstheme="minorHAnsi"/>
          <w:sz w:val="24"/>
          <w:szCs w:val="24"/>
        </w:rPr>
        <w:t xml:space="preserve"> ieža pagrabiem tiek pieskaitīti arī pagrabi iezī pirms </w:t>
      </w:r>
      <w:proofErr w:type="spellStart"/>
      <w:r w:rsidR="00424A3A" w:rsidRPr="00F14ABA">
        <w:rPr>
          <w:rFonts w:cstheme="minorHAnsi"/>
          <w:sz w:val="24"/>
          <w:szCs w:val="24"/>
        </w:rPr>
        <w:t>Ānfab</w:t>
      </w:r>
      <w:r w:rsidRPr="00F14ABA">
        <w:rPr>
          <w:rFonts w:cstheme="minorHAnsi"/>
          <w:sz w:val="24"/>
          <w:szCs w:val="24"/>
        </w:rPr>
        <w:t>rikas</w:t>
      </w:r>
      <w:proofErr w:type="spellEnd"/>
      <w:r w:rsidRPr="00F14ABA">
        <w:rPr>
          <w:rFonts w:cstheme="minorHAnsi"/>
          <w:sz w:val="24"/>
          <w:szCs w:val="24"/>
        </w:rPr>
        <w:t xml:space="preserve"> ieža, kā arī pēc 1873. gada cirstie pagrabi divos blakus esošajos Līgatnes upes pamatkrasta iežos, kad par dzīvokļiem tika pārbūvēta divstāvu papīra žāvēšanas un gludināšanas ēka </w:t>
      </w:r>
      <w:r w:rsidRPr="00F14ABA">
        <w:rPr>
          <w:rFonts w:cstheme="minorHAnsi"/>
          <w:i/>
          <w:iCs/>
          <w:sz w:val="24"/>
          <w:szCs w:val="24"/>
        </w:rPr>
        <w:t>(</w:t>
      </w:r>
      <w:proofErr w:type="spellStart"/>
      <w:r w:rsidRPr="00F14ABA">
        <w:rPr>
          <w:rFonts w:cstheme="minorHAnsi"/>
          <w:i/>
          <w:iCs/>
          <w:sz w:val="24"/>
          <w:szCs w:val="24"/>
        </w:rPr>
        <w:t>Trockenhaus</w:t>
      </w:r>
      <w:proofErr w:type="spellEnd"/>
      <w:r w:rsidRPr="00F14ABA">
        <w:rPr>
          <w:rFonts w:cstheme="minorHAnsi"/>
          <w:i/>
          <w:iCs/>
          <w:sz w:val="24"/>
          <w:szCs w:val="24"/>
        </w:rPr>
        <w:t>),</w:t>
      </w:r>
      <w:r w:rsidRPr="00F14ABA">
        <w:rPr>
          <w:rFonts w:cstheme="minorHAnsi"/>
          <w:sz w:val="24"/>
          <w:szCs w:val="24"/>
        </w:rPr>
        <w:t xml:space="preserve"> kura atradās ap to vietu, kur tagad </w:t>
      </w:r>
      <w:proofErr w:type="spellStart"/>
      <w:r w:rsidR="00424A3A" w:rsidRPr="00F14ABA">
        <w:rPr>
          <w:rFonts w:cstheme="minorHAnsi"/>
          <w:sz w:val="24"/>
          <w:szCs w:val="24"/>
        </w:rPr>
        <w:t>Ānfab</w:t>
      </w:r>
      <w:r w:rsidRPr="00F14ABA">
        <w:rPr>
          <w:rFonts w:cstheme="minorHAnsi"/>
          <w:sz w:val="24"/>
          <w:szCs w:val="24"/>
        </w:rPr>
        <w:t>rikas</w:t>
      </w:r>
      <w:proofErr w:type="spellEnd"/>
      <w:r w:rsidRPr="00F14ABA">
        <w:rPr>
          <w:rFonts w:cstheme="minorHAnsi"/>
          <w:sz w:val="24"/>
          <w:szCs w:val="24"/>
        </w:rPr>
        <w:t xml:space="preserve"> sardzes mājiņa.</w:t>
      </w:r>
    </w:p>
    <w:p w:rsidR="00F14ABA" w:rsidRDefault="001D6AB4" w:rsidP="00F14ABA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 xml:space="preserve">Pašreiz </w:t>
      </w:r>
      <w:proofErr w:type="spellStart"/>
      <w:r w:rsidR="00424A3A" w:rsidRPr="00F14ABA">
        <w:rPr>
          <w:rFonts w:cstheme="minorHAnsi"/>
          <w:sz w:val="24"/>
          <w:szCs w:val="24"/>
        </w:rPr>
        <w:t>Ānfab</w:t>
      </w:r>
      <w:r w:rsidRPr="00F14ABA">
        <w:rPr>
          <w:rFonts w:cstheme="minorHAnsi"/>
          <w:sz w:val="24"/>
          <w:szCs w:val="24"/>
        </w:rPr>
        <w:t>rikas</w:t>
      </w:r>
      <w:proofErr w:type="spellEnd"/>
      <w:r w:rsidRPr="00F14ABA">
        <w:rPr>
          <w:rFonts w:cstheme="minorHAnsi"/>
          <w:sz w:val="24"/>
          <w:szCs w:val="24"/>
        </w:rPr>
        <w:t xml:space="preserve"> iezī ir saglabājušās 13 pagrabu </w:t>
      </w:r>
      <w:proofErr w:type="gramStart"/>
      <w:r w:rsidRPr="00F14ABA">
        <w:rPr>
          <w:rFonts w:cstheme="minorHAnsi"/>
          <w:sz w:val="24"/>
          <w:szCs w:val="24"/>
        </w:rPr>
        <w:t>vietas</w:t>
      </w:r>
      <w:proofErr w:type="gramEnd"/>
      <w:r w:rsidRPr="00F14ABA">
        <w:rPr>
          <w:rFonts w:cstheme="minorHAnsi"/>
          <w:sz w:val="24"/>
          <w:szCs w:val="24"/>
        </w:rPr>
        <w:t xml:space="preserve">, blakus iezī pirms </w:t>
      </w:r>
      <w:proofErr w:type="spellStart"/>
      <w:r w:rsidR="00424A3A" w:rsidRPr="00F14ABA">
        <w:rPr>
          <w:rFonts w:cstheme="minorHAnsi"/>
          <w:sz w:val="24"/>
          <w:szCs w:val="24"/>
        </w:rPr>
        <w:t>Ānfab</w:t>
      </w:r>
      <w:r w:rsidRPr="00F14ABA">
        <w:rPr>
          <w:rFonts w:cstheme="minorHAnsi"/>
          <w:sz w:val="24"/>
          <w:szCs w:val="24"/>
        </w:rPr>
        <w:t>rikas</w:t>
      </w:r>
      <w:proofErr w:type="spellEnd"/>
      <w:r w:rsidRPr="00F14ABA">
        <w:rPr>
          <w:rFonts w:cstheme="minorHAnsi"/>
          <w:sz w:val="24"/>
          <w:szCs w:val="24"/>
        </w:rPr>
        <w:t xml:space="preserve"> ieža 2, blakus iezī uz </w:t>
      </w:r>
      <w:proofErr w:type="spellStart"/>
      <w:r w:rsidRPr="00F14ABA">
        <w:rPr>
          <w:rFonts w:cstheme="minorHAnsi"/>
          <w:sz w:val="24"/>
          <w:szCs w:val="24"/>
        </w:rPr>
        <w:t>Rīgaskalna</w:t>
      </w:r>
      <w:proofErr w:type="spellEnd"/>
      <w:r w:rsidRPr="00F14ABA">
        <w:rPr>
          <w:rFonts w:cstheme="minorHAnsi"/>
          <w:sz w:val="24"/>
          <w:szCs w:val="24"/>
        </w:rPr>
        <w:t xml:space="preserve"> pusi 4 un turpat </w:t>
      </w:r>
      <w:proofErr w:type="gramStart"/>
      <w:r w:rsidRPr="00F14ABA">
        <w:rPr>
          <w:rFonts w:cstheme="minorHAnsi"/>
          <w:sz w:val="24"/>
          <w:szCs w:val="24"/>
        </w:rPr>
        <w:t>nākošajā iezī</w:t>
      </w:r>
      <w:proofErr w:type="gramEnd"/>
      <w:r w:rsidRPr="00F14ABA">
        <w:rPr>
          <w:rFonts w:cstheme="minorHAnsi"/>
          <w:sz w:val="24"/>
          <w:szCs w:val="24"/>
        </w:rPr>
        <w:t xml:space="preserve"> 2 pagrabu vietas, tātad kopā 21 pagrabu vieta. </w:t>
      </w:r>
    </w:p>
    <w:p w:rsidR="001D6AB4" w:rsidRPr="00F14ABA" w:rsidRDefault="001D6AB4" w:rsidP="00F14ABA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b/>
          <w:bCs/>
          <w:sz w:val="24"/>
          <w:szCs w:val="24"/>
        </w:rPr>
        <w:t>Novērtēj</w:t>
      </w:r>
      <w:r w:rsidR="00F14ABA">
        <w:rPr>
          <w:rFonts w:cstheme="minorHAnsi"/>
          <w:b/>
          <w:bCs/>
          <w:sz w:val="24"/>
          <w:szCs w:val="24"/>
        </w:rPr>
        <w:t>umi</w:t>
      </w:r>
    </w:p>
    <w:p w:rsidR="001D6AB4" w:rsidRPr="00F14ABA" w:rsidRDefault="001D6AB4" w:rsidP="00E95C16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>Unikālās vērtības – 5</w:t>
      </w:r>
    </w:p>
    <w:p w:rsidR="001D6AB4" w:rsidRPr="00F14ABA" w:rsidRDefault="001D6AB4" w:rsidP="00E95C16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>Ainaviskums – 5</w:t>
      </w:r>
    </w:p>
    <w:p w:rsidR="00112CAF" w:rsidRDefault="00112CAF" w:rsidP="00E95C1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Zinātniskais novērtējums:</w:t>
      </w:r>
    </w:p>
    <w:p w:rsidR="001D6AB4" w:rsidRPr="00F14ABA" w:rsidRDefault="001D6AB4" w:rsidP="00112CAF">
      <w:pPr>
        <w:pStyle w:val="NoSpacing"/>
        <w:ind w:firstLine="720"/>
        <w:rPr>
          <w:rFonts w:cstheme="minorHAnsi"/>
          <w:sz w:val="24"/>
          <w:szCs w:val="24"/>
        </w:rPr>
      </w:pPr>
      <w:proofErr w:type="spellStart"/>
      <w:r w:rsidRPr="00F14ABA">
        <w:rPr>
          <w:rFonts w:cstheme="minorHAnsi"/>
          <w:sz w:val="24"/>
          <w:szCs w:val="24"/>
        </w:rPr>
        <w:t>Stratigrāfija</w:t>
      </w:r>
      <w:proofErr w:type="spellEnd"/>
      <w:r w:rsidRPr="00F14ABA">
        <w:rPr>
          <w:rFonts w:cstheme="minorHAnsi"/>
          <w:sz w:val="24"/>
          <w:szCs w:val="24"/>
        </w:rPr>
        <w:t xml:space="preserve"> – 2</w:t>
      </w:r>
    </w:p>
    <w:p w:rsidR="001D6AB4" w:rsidRPr="00F14ABA" w:rsidRDefault="001D6AB4" w:rsidP="00112CAF">
      <w:pPr>
        <w:pStyle w:val="NoSpacing"/>
        <w:ind w:firstLine="720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>Uzbūve – 2</w:t>
      </w:r>
    </w:p>
    <w:p w:rsidR="001D6AB4" w:rsidRPr="00F14ABA" w:rsidRDefault="001D6AB4" w:rsidP="00112CAF">
      <w:pPr>
        <w:pStyle w:val="NoSpacing"/>
        <w:ind w:firstLine="720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>Viela – 2</w:t>
      </w:r>
    </w:p>
    <w:p w:rsidR="001D6AB4" w:rsidRPr="00F14ABA" w:rsidRDefault="001D6AB4" w:rsidP="00112CAF">
      <w:pPr>
        <w:pStyle w:val="NoSpacing"/>
        <w:ind w:firstLine="720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lastRenderedPageBreak/>
        <w:t>Procesi – 1</w:t>
      </w:r>
    </w:p>
    <w:p w:rsidR="001D6AB4" w:rsidRPr="00F14ABA" w:rsidRDefault="001D6AB4" w:rsidP="00E95C16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>Citas vērtības – 5</w:t>
      </w:r>
    </w:p>
    <w:p w:rsidR="001D6AB4" w:rsidRPr="00F14ABA" w:rsidRDefault="001D6AB4" w:rsidP="00E95C16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>Novērtējumu summa - 22</w:t>
      </w:r>
    </w:p>
    <w:p w:rsidR="001D6AB4" w:rsidRPr="00F14ABA" w:rsidRDefault="00F14ABA" w:rsidP="00F14ABA">
      <w:pPr>
        <w:pStyle w:val="NoSpacing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>Robežu izmaiņu pamatojums</w:t>
      </w:r>
    </w:p>
    <w:p w:rsidR="00F14ABA" w:rsidRDefault="00F14ABA" w:rsidP="00F14AB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Nav ierosinājumu</w:t>
      </w:r>
    </w:p>
    <w:p w:rsidR="001D6AB4" w:rsidRPr="00F14ABA" w:rsidRDefault="001D6AB4" w:rsidP="00F14ABA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b/>
          <w:bCs/>
          <w:sz w:val="24"/>
          <w:szCs w:val="24"/>
        </w:rPr>
        <w:t>Ieteikumi a</w:t>
      </w:r>
      <w:r w:rsidR="00F14ABA">
        <w:rPr>
          <w:rFonts w:cstheme="minorHAnsi"/>
          <w:b/>
          <w:bCs/>
          <w:sz w:val="24"/>
          <w:szCs w:val="24"/>
        </w:rPr>
        <w:t>izsardzībai un apsaimniekošanai</w:t>
      </w:r>
    </w:p>
    <w:p w:rsidR="001D6AB4" w:rsidRPr="00F14ABA" w:rsidRDefault="001D6AB4" w:rsidP="00E95C16">
      <w:pPr>
        <w:pStyle w:val="NoSpacing"/>
        <w:rPr>
          <w:rFonts w:cstheme="minorHAnsi"/>
          <w:sz w:val="24"/>
          <w:szCs w:val="24"/>
        </w:rPr>
      </w:pPr>
      <w:r w:rsidRPr="00F14ABA">
        <w:rPr>
          <w:rFonts w:cstheme="minorHAnsi"/>
          <w:sz w:val="24"/>
          <w:szCs w:val="24"/>
        </w:rPr>
        <w:t xml:space="preserve">Teritoriju nepieciešams saglabāt </w:t>
      </w:r>
      <w:proofErr w:type="gramStart"/>
      <w:r w:rsidRPr="00F14ABA">
        <w:rPr>
          <w:rFonts w:cstheme="minorHAnsi"/>
          <w:sz w:val="24"/>
          <w:szCs w:val="24"/>
        </w:rPr>
        <w:t>gan zinātniskiem ģeoloģijas (stratigrāfijas, ģeomorfoloģijas, hidroģeoloģijas), sugu un biotopu pētījumiem, gan kā ainaviski vērtīgu dabas veidojumu kopumu</w:t>
      </w:r>
      <w:proofErr w:type="gramEnd"/>
      <w:r w:rsidRPr="00F14ABA">
        <w:rPr>
          <w:rFonts w:cstheme="minorHAnsi"/>
          <w:sz w:val="24"/>
          <w:szCs w:val="24"/>
        </w:rPr>
        <w:t>, kas ir nozīmīgs kā kultūrvēsturiska teritorija.</w:t>
      </w:r>
    </w:p>
    <w:p w:rsidR="001D6AB4" w:rsidRDefault="00077C18" w:rsidP="00E95C16">
      <w:pPr>
        <w:pStyle w:val="NoSpacing"/>
        <w:rPr>
          <w:rFonts w:cstheme="minorHAnsi"/>
          <w:sz w:val="24"/>
          <w:szCs w:val="24"/>
        </w:rPr>
      </w:pPr>
      <w:proofErr w:type="gramStart"/>
      <w:r w:rsidRPr="00F14ABA">
        <w:rPr>
          <w:rFonts w:cstheme="minorHAnsi"/>
          <w:sz w:val="24"/>
          <w:szCs w:val="24"/>
        </w:rPr>
        <w:t>Nepieciešams informācijas stends</w:t>
      </w:r>
      <w:proofErr w:type="gramEnd"/>
      <w:r w:rsidRPr="00F14ABA">
        <w:rPr>
          <w:rFonts w:cstheme="minorHAnsi"/>
          <w:sz w:val="24"/>
          <w:szCs w:val="24"/>
        </w:rPr>
        <w:t xml:space="preserve">, jo </w:t>
      </w:r>
      <w:proofErr w:type="spellStart"/>
      <w:r w:rsidRPr="00F14ABA">
        <w:rPr>
          <w:rFonts w:cstheme="minorHAnsi"/>
          <w:sz w:val="24"/>
          <w:szCs w:val="24"/>
        </w:rPr>
        <w:t>Ānfabrikas</w:t>
      </w:r>
      <w:proofErr w:type="spellEnd"/>
      <w:r w:rsidRPr="00F14ABA">
        <w:rPr>
          <w:rFonts w:cstheme="minorHAnsi"/>
          <w:sz w:val="24"/>
          <w:szCs w:val="24"/>
        </w:rPr>
        <w:t xml:space="preserve"> klints ir bieži ceļotāju apmeklēta vieta. Stendā, kas varētu tikt uzstādīts pie objekta, būtu jānorāda, ka klints sienās nedrīkst izdarīt ierakstus, izglītojoši paskaidrojot, kādēļ nedrīkst.</w:t>
      </w:r>
    </w:p>
    <w:p w:rsidR="00112CAF" w:rsidRDefault="00112CAF" w:rsidP="00E95C16">
      <w:pPr>
        <w:pStyle w:val="NoSpacing"/>
        <w:rPr>
          <w:rFonts w:cstheme="minorHAnsi"/>
          <w:sz w:val="24"/>
          <w:szCs w:val="24"/>
        </w:rPr>
      </w:pPr>
    </w:p>
    <w:p w:rsidR="00112CAF" w:rsidRDefault="00112CAF" w:rsidP="00E95C16">
      <w:pPr>
        <w:pStyle w:val="NoSpacing"/>
        <w:rPr>
          <w:rFonts w:cstheme="minorHAnsi"/>
          <w:sz w:val="24"/>
          <w:szCs w:val="24"/>
        </w:rPr>
      </w:pPr>
    </w:p>
    <w:p w:rsidR="00112CAF" w:rsidRPr="00F14ABA" w:rsidRDefault="00112CAF" w:rsidP="00E95C16">
      <w:pPr>
        <w:pStyle w:val="NoSpacing"/>
        <w:rPr>
          <w:rFonts w:cstheme="minorHAnsi"/>
          <w:b/>
          <w:sz w:val="24"/>
          <w:szCs w:val="24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sectPr w:rsidR="00112CAF" w:rsidRPr="00F14A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36C9A"/>
    <w:rsid w:val="00043588"/>
    <w:rsid w:val="00043BFF"/>
    <w:rsid w:val="000513C8"/>
    <w:rsid w:val="00077C18"/>
    <w:rsid w:val="000819E9"/>
    <w:rsid w:val="000938CA"/>
    <w:rsid w:val="00094803"/>
    <w:rsid w:val="000C4785"/>
    <w:rsid w:val="000C57AE"/>
    <w:rsid w:val="000D2CD9"/>
    <w:rsid w:val="000E2D9D"/>
    <w:rsid w:val="00101C6A"/>
    <w:rsid w:val="00112CAF"/>
    <w:rsid w:val="0014237C"/>
    <w:rsid w:val="0014660D"/>
    <w:rsid w:val="00163C3C"/>
    <w:rsid w:val="00170FE2"/>
    <w:rsid w:val="001D6AB4"/>
    <w:rsid w:val="0020503D"/>
    <w:rsid w:val="00206BA0"/>
    <w:rsid w:val="00220F76"/>
    <w:rsid w:val="002226FB"/>
    <w:rsid w:val="00235AD6"/>
    <w:rsid w:val="00275719"/>
    <w:rsid w:val="002B5EB6"/>
    <w:rsid w:val="002C5F24"/>
    <w:rsid w:val="002C7C07"/>
    <w:rsid w:val="002D38C8"/>
    <w:rsid w:val="002D56A8"/>
    <w:rsid w:val="00311DA2"/>
    <w:rsid w:val="00350BAB"/>
    <w:rsid w:val="00376214"/>
    <w:rsid w:val="00395190"/>
    <w:rsid w:val="003B0303"/>
    <w:rsid w:val="00400369"/>
    <w:rsid w:val="00410813"/>
    <w:rsid w:val="00424A3A"/>
    <w:rsid w:val="00443D41"/>
    <w:rsid w:val="004977E2"/>
    <w:rsid w:val="004A727A"/>
    <w:rsid w:val="004C0FF0"/>
    <w:rsid w:val="004C7459"/>
    <w:rsid w:val="004D0947"/>
    <w:rsid w:val="00556F19"/>
    <w:rsid w:val="00565D00"/>
    <w:rsid w:val="00571FF1"/>
    <w:rsid w:val="00582675"/>
    <w:rsid w:val="00584C60"/>
    <w:rsid w:val="0059221F"/>
    <w:rsid w:val="005A7495"/>
    <w:rsid w:val="005B3226"/>
    <w:rsid w:val="005F2081"/>
    <w:rsid w:val="00695609"/>
    <w:rsid w:val="006C0979"/>
    <w:rsid w:val="006C5225"/>
    <w:rsid w:val="006D36D4"/>
    <w:rsid w:val="006D6344"/>
    <w:rsid w:val="006F391A"/>
    <w:rsid w:val="007026AD"/>
    <w:rsid w:val="00723B7E"/>
    <w:rsid w:val="007252A5"/>
    <w:rsid w:val="00737937"/>
    <w:rsid w:val="007411EC"/>
    <w:rsid w:val="00744810"/>
    <w:rsid w:val="0076381C"/>
    <w:rsid w:val="007A4563"/>
    <w:rsid w:val="00885900"/>
    <w:rsid w:val="008C7C27"/>
    <w:rsid w:val="008E2D9C"/>
    <w:rsid w:val="008F1193"/>
    <w:rsid w:val="008F52CD"/>
    <w:rsid w:val="00903373"/>
    <w:rsid w:val="00916037"/>
    <w:rsid w:val="00930687"/>
    <w:rsid w:val="009336BD"/>
    <w:rsid w:val="00956BE0"/>
    <w:rsid w:val="00975FBD"/>
    <w:rsid w:val="009A094A"/>
    <w:rsid w:val="009A5AB4"/>
    <w:rsid w:val="009B029B"/>
    <w:rsid w:val="009C6940"/>
    <w:rsid w:val="009D7C26"/>
    <w:rsid w:val="009E76CB"/>
    <w:rsid w:val="00A046C9"/>
    <w:rsid w:val="00A44B2A"/>
    <w:rsid w:val="00A52A9E"/>
    <w:rsid w:val="00A61CA4"/>
    <w:rsid w:val="00A63A3F"/>
    <w:rsid w:val="00A74D50"/>
    <w:rsid w:val="00AB464D"/>
    <w:rsid w:val="00AB7350"/>
    <w:rsid w:val="00AB7B93"/>
    <w:rsid w:val="00AC3159"/>
    <w:rsid w:val="00AC7FDB"/>
    <w:rsid w:val="00AE301C"/>
    <w:rsid w:val="00B00BEB"/>
    <w:rsid w:val="00B06716"/>
    <w:rsid w:val="00B10B33"/>
    <w:rsid w:val="00B24BE1"/>
    <w:rsid w:val="00B47FAC"/>
    <w:rsid w:val="00B60262"/>
    <w:rsid w:val="00B749CE"/>
    <w:rsid w:val="00BC0A25"/>
    <w:rsid w:val="00BD6BA4"/>
    <w:rsid w:val="00BF3A04"/>
    <w:rsid w:val="00C47A99"/>
    <w:rsid w:val="00C67931"/>
    <w:rsid w:val="00C7282A"/>
    <w:rsid w:val="00CA1B3A"/>
    <w:rsid w:val="00CA3B58"/>
    <w:rsid w:val="00D80290"/>
    <w:rsid w:val="00DB523C"/>
    <w:rsid w:val="00DC15C2"/>
    <w:rsid w:val="00DC5315"/>
    <w:rsid w:val="00DF3538"/>
    <w:rsid w:val="00E05062"/>
    <w:rsid w:val="00E05CED"/>
    <w:rsid w:val="00E16EFD"/>
    <w:rsid w:val="00E200C3"/>
    <w:rsid w:val="00E2551E"/>
    <w:rsid w:val="00E631C8"/>
    <w:rsid w:val="00E67478"/>
    <w:rsid w:val="00E95C16"/>
    <w:rsid w:val="00EB15ED"/>
    <w:rsid w:val="00EB20A0"/>
    <w:rsid w:val="00EC42F8"/>
    <w:rsid w:val="00EC447E"/>
    <w:rsid w:val="00EC461C"/>
    <w:rsid w:val="00ED0AA8"/>
    <w:rsid w:val="00ED2BE3"/>
    <w:rsid w:val="00EF598F"/>
    <w:rsid w:val="00F10282"/>
    <w:rsid w:val="00F14ABA"/>
    <w:rsid w:val="00F20C44"/>
    <w:rsid w:val="00F20ECC"/>
    <w:rsid w:val="00F52B4B"/>
    <w:rsid w:val="00F60268"/>
    <w:rsid w:val="00F666EC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C717"/>
  <w15:docId w15:val="{6388E590-0C85-4C3A-B372-F88B9E3F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  <w:style w:type="paragraph" w:styleId="NormalWeb">
    <w:name w:val="Normal (Web)"/>
    <w:basedOn w:val="Normal"/>
    <w:rsid w:val="001D6A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4881</Words>
  <Characters>2783</Characters>
  <Application>Microsoft Office Word</Application>
  <DocSecurity>0</DocSecurity>
  <Lines>23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9</cp:revision>
  <dcterms:created xsi:type="dcterms:W3CDTF">2016-07-25T15:36:00Z</dcterms:created>
  <dcterms:modified xsi:type="dcterms:W3CDTF">2017-06-02T07:16:00Z</dcterms:modified>
</cp:coreProperties>
</file>